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0" w:rsidRDefault="00C373E0"/>
    <w:p w:rsidR="00C373E0" w:rsidRDefault="00C373E0" w:rsidP="00C373E0">
      <w:r>
        <w:rPr>
          <w:rFonts w:ascii="Times New Roman" w:eastAsia="Times New Roman" w:hAnsi="Times New Roman"/>
          <w:b/>
          <w:sz w:val="28"/>
          <w:szCs w:val="28"/>
        </w:rPr>
        <w:t>Załącznik nr 1</w:t>
      </w:r>
    </w:p>
    <w:p w:rsidR="00C373E0" w:rsidRDefault="00C373E0" w:rsidP="00C373E0">
      <w:pPr>
        <w:spacing w:after="0"/>
        <w:jc w:val="right"/>
      </w:pPr>
      <w:r>
        <w:rPr>
          <w:b/>
          <w:color w:val="1D1B11"/>
        </w:rPr>
        <w:t xml:space="preserve">do postępowania </w:t>
      </w:r>
      <w:proofErr w:type="spellStart"/>
      <w:r>
        <w:rPr>
          <w:b/>
          <w:color w:val="1D1B11"/>
        </w:rPr>
        <w:t>SZPiGM</w:t>
      </w:r>
      <w:proofErr w:type="spellEnd"/>
      <w:r>
        <w:rPr>
          <w:b/>
          <w:color w:val="1D1B11"/>
        </w:rPr>
        <w:t xml:space="preserve"> 3810/28/2018</w:t>
      </w:r>
    </w:p>
    <w:p w:rsidR="00C373E0" w:rsidRDefault="00C373E0" w:rsidP="00C373E0">
      <w:pPr>
        <w:spacing w:after="0"/>
        <w:rPr>
          <w:b/>
          <w:i/>
          <w:color w:val="1D1B11"/>
        </w:rPr>
      </w:pPr>
    </w:p>
    <w:p w:rsidR="00C373E0" w:rsidRPr="00F22D5C" w:rsidRDefault="00C373E0" w:rsidP="00C373E0">
      <w:pPr>
        <w:jc w:val="center"/>
        <w:rPr>
          <w:sz w:val="36"/>
          <w:szCs w:val="36"/>
        </w:rPr>
      </w:pPr>
      <w:r w:rsidRPr="00F22D5C">
        <w:rPr>
          <w:rFonts w:cs="Calibri"/>
          <w:b/>
          <w:i/>
          <w:color w:val="1D1B11"/>
          <w:sz w:val="36"/>
          <w:szCs w:val="36"/>
        </w:rPr>
        <w:t xml:space="preserve"> </w:t>
      </w:r>
      <w:r w:rsidRPr="00F22D5C">
        <w:rPr>
          <w:b/>
          <w:i/>
          <w:color w:val="1D1B11"/>
          <w:sz w:val="36"/>
          <w:szCs w:val="36"/>
        </w:rPr>
        <w:t>OPIS PRZEDMIOTU ZAMÓWIENIA</w:t>
      </w:r>
    </w:p>
    <w:p w:rsidR="00C373E0" w:rsidRPr="00F22D5C" w:rsidRDefault="00C373E0" w:rsidP="00C373E0">
      <w:pPr>
        <w:rPr>
          <w:sz w:val="26"/>
          <w:szCs w:val="26"/>
        </w:rPr>
      </w:pPr>
      <w:r w:rsidRPr="00F22D5C">
        <w:rPr>
          <w:rFonts w:cs="Calibri"/>
          <w:b/>
          <w:i/>
          <w:color w:val="1D1B11"/>
          <w:sz w:val="26"/>
          <w:szCs w:val="26"/>
        </w:rPr>
        <w:t>Część nr 1</w:t>
      </w:r>
    </w:p>
    <w:p w:rsidR="00C373E0" w:rsidRDefault="00C373E0" w:rsidP="00C373E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2148">
        <w:rPr>
          <w:rFonts w:cs="Calibri"/>
          <w:b/>
          <w:i/>
          <w:color w:val="1D1B11"/>
          <w:sz w:val="24"/>
          <w:szCs w:val="24"/>
        </w:rPr>
        <w:t xml:space="preserve">Nazwa:  </w:t>
      </w:r>
      <w:r w:rsidRPr="00702148">
        <w:rPr>
          <w:rFonts w:ascii="Times New Roman" w:hAnsi="Times New Roman"/>
          <w:b/>
          <w:bCs/>
          <w:sz w:val="24"/>
          <w:szCs w:val="24"/>
        </w:rPr>
        <w:t xml:space="preserve">Dostawy odczynników wraz z usługą dzierżawy/nieodpłatnego użyczenia </w:t>
      </w:r>
      <w:r>
        <w:rPr>
          <w:rFonts w:ascii="Times New Roman" w:hAnsi="Times New Roman"/>
          <w:b/>
          <w:bCs/>
          <w:sz w:val="24"/>
          <w:szCs w:val="24"/>
        </w:rPr>
        <w:t>sprzętu</w:t>
      </w:r>
      <w:r w:rsidRPr="00702148">
        <w:rPr>
          <w:rFonts w:ascii="Times New Roman" w:hAnsi="Times New Roman"/>
          <w:b/>
          <w:bCs/>
          <w:sz w:val="24"/>
          <w:szCs w:val="24"/>
        </w:rPr>
        <w:t xml:space="preserve"> do wykonywania badań krwi w technice </w:t>
      </w:r>
      <w:proofErr w:type="spellStart"/>
      <w:r w:rsidRPr="00702148">
        <w:rPr>
          <w:rFonts w:ascii="Times New Roman" w:hAnsi="Times New Roman"/>
          <w:b/>
          <w:bCs/>
          <w:sz w:val="24"/>
          <w:szCs w:val="24"/>
        </w:rPr>
        <w:t>mikrokolumnowej</w:t>
      </w:r>
      <w:proofErr w:type="spellEnd"/>
      <w:r w:rsidRPr="00702148">
        <w:rPr>
          <w:rFonts w:ascii="Times New Roman" w:hAnsi="Times New Roman"/>
          <w:b/>
          <w:bCs/>
          <w:sz w:val="24"/>
          <w:szCs w:val="24"/>
        </w:rPr>
        <w:t xml:space="preserve"> żelowej.</w:t>
      </w:r>
    </w:p>
    <w:p w:rsidR="00C373E0" w:rsidRDefault="00C373E0" w:rsidP="00C373E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3E0" w:rsidRPr="00702148" w:rsidRDefault="00C373E0" w:rsidP="00C373E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3E0" w:rsidRPr="00280131" w:rsidRDefault="00C373E0" w:rsidP="00C373E0">
      <w:pPr>
        <w:jc w:val="both"/>
        <w:rPr>
          <w:b/>
          <w:bCs/>
        </w:rPr>
      </w:pPr>
      <w:r w:rsidRPr="00280131">
        <w:rPr>
          <w:rFonts w:ascii="Times New Roman" w:hAnsi="Times New Roman"/>
          <w:b/>
          <w:bCs/>
        </w:rPr>
        <w:t>Dzierżawa/nieodpłatne użyczenie sprzętu</w:t>
      </w:r>
    </w:p>
    <w:tbl>
      <w:tblPr>
        <w:tblW w:w="156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08"/>
        <w:gridCol w:w="3003"/>
        <w:gridCol w:w="1560"/>
        <w:gridCol w:w="1559"/>
        <w:gridCol w:w="2126"/>
        <w:gridCol w:w="851"/>
        <w:gridCol w:w="1701"/>
        <w:gridCol w:w="3710"/>
      </w:tblGrid>
      <w:tr w:rsidR="00C373E0" w:rsidTr="00BB2A4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A21DED" w:rsidRDefault="00C373E0" w:rsidP="00BB2A46">
            <w:pPr>
              <w:spacing w:after="0" w:line="240" w:lineRule="auto"/>
              <w:jc w:val="center"/>
              <w:rPr>
                <w:b/>
                <w:bCs/>
              </w:rPr>
            </w:pPr>
            <w:r w:rsidRPr="00A21DED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  <w:rPr>
                <w:rFonts w:cs="Calibri"/>
                <w:b/>
                <w:i/>
                <w:color w:val="1D1B11"/>
                <w:sz w:val="20"/>
                <w:szCs w:val="20"/>
              </w:rPr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Wartość czynszu netto PLN za okres jednego miesiąca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 xml:space="preserve">Wartość czynszu netto PLN przez okres trwania umowy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Wartość czynszu brutto PLN przez okres trwania umowy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Typ (nazwa, numer katalogowy lub tym podobne)/producent/opis ewentualnego wyposażenia dodatkowego w zestawie</w:t>
            </w:r>
          </w:p>
        </w:tc>
      </w:tr>
      <w:tr w:rsidR="00C373E0" w:rsidTr="00BB2A4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09391D" w:rsidRDefault="00C373E0" w:rsidP="00BB2A46">
            <w:pPr>
              <w:spacing w:after="0" w:line="240" w:lineRule="auto"/>
              <w:jc w:val="center"/>
              <w:rPr>
                <w:b/>
                <w:bCs/>
              </w:rPr>
            </w:pPr>
            <w:r w:rsidRPr="0009391D">
              <w:rPr>
                <w:rFonts w:cs="Calibri"/>
                <w:b/>
                <w:bCs/>
                <w:i/>
                <w:color w:val="1D1B11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b/>
                <w:bCs/>
                <w:sz w:val="24"/>
                <w:szCs w:val="24"/>
              </w:rPr>
              <w:t>Analizator z backup-em i zestawem komputerowym -1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AF5174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</w:pPr>
            <w:r w:rsidRPr="00AF5174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09391D" w:rsidRDefault="00C373E0" w:rsidP="00BB2A4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</w:rPr>
            </w:pPr>
            <w:r w:rsidRPr="0009391D">
              <w:rPr>
                <w:rFonts w:cs="Calibri"/>
                <w:b/>
                <w:bCs/>
                <w:i/>
                <w:color w:val="1D1B11"/>
              </w:rPr>
              <w:lastRenderedPageBreak/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b/>
                <w:bCs/>
                <w:sz w:val="24"/>
                <w:szCs w:val="24"/>
              </w:rPr>
              <w:t xml:space="preserve">Wirówka do odwirowywania probówek i testów bezpośrednich 2 szt.- z wirnikiem horyzontalnym (4x) z wymiennymi wkładami na 2 rodzaje probówek 12x5 ml (75mm) i 7x10 ml (100mm) z regulacją obrotów od 300-4000 </w:t>
            </w:r>
            <w:proofErr w:type="spellStart"/>
            <w:r w:rsidRPr="00702148">
              <w:rPr>
                <w:b/>
                <w:bCs/>
                <w:sz w:val="24"/>
                <w:szCs w:val="24"/>
              </w:rPr>
              <w:t>obr</w:t>
            </w:r>
            <w:proofErr w:type="spellEnd"/>
            <w:r w:rsidRPr="00702148">
              <w:rPr>
                <w:b/>
                <w:bCs/>
                <w:sz w:val="24"/>
                <w:szCs w:val="24"/>
              </w:rPr>
              <w:t xml:space="preserve">/min.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702148">
              <w:rPr>
                <w:b/>
                <w:bCs/>
                <w:sz w:val="24"/>
                <w:szCs w:val="24"/>
              </w:rPr>
              <w:t xml:space="preserve"> regulacją czasu wirowania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AF5174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</w:pPr>
            <w:r w:rsidRPr="00AF5174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RPr="0009391D" w:rsidTr="00BB2A4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09391D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1D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3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Pr="0009391D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</w:pPr>
            <w:r w:rsidRPr="0009391D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09391D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09391D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1D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09391D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Pr="0009391D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391D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x</w:t>
            </w:r>
          </w:p>
        </w:tc>
      </w:tr>
    </w:tbl>
    <w:p w:rsidR="00C373E0" w:rsidRPr="0009391D" w:rsidRDefault="00C373E0" w:rsidP="00C373E0">
      <w:pPr>
        <w:spacing w:after="0"/>
        <w:rPr>
          <w:rFonts w:cs="Calibri"/>
          <w:b/>
          <w:bCs/>
          <w:color w:val="1D1B11"/>
          <w:sz w:val="24"/>
          <w:szCs w:val="24"/>
        </w:rPr>
      </w:pPr>
    </w:p>
    <w:p w:rsidR="00C373E0" w:rsidRDefault="00C373E0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C373E0" w:rsidRDefault="00C373E0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C373E0" w:rsidRDefault="00C373E0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521B55" w:rsidRDefault="00521B55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C373E0" w:rsidRDefault="00C373E0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475ABA" w:rsidRDefault="00475ABA" w:rsidP="00C373E0">
      <w:pPr>
        <w:suppressAutoHyphens w:val="0"/>
        <w:rPr>
          <w:rFonts w:cs="Calibri"/>
          <w:b/>
          <w:i/>
          <w:color w:val="1D1B11"/>
          <w:sz w:val="24"/>
          <w:szCs w:val="24"/>
          <w:lang w:eastAsia="en-US"/>
        </w:rPr>
      </w:pPr>
    </w:p>
    <w:p w:rsidR="00475ABA" w:rsidRDefault="00475ABA" w:rsidP="00C373E0">
      <w:pPr>
        <w:suppressAutoHyphens w:val="0"/>
        <w:rPr>
          <w:rFonts w:cs="Calibri"/>
          <w:b/>
          <w:i/>
          <w:color w:val="1D1B11"/>
          <w:sz w:val="24"/>
          <w:szCs w:val="24"/>
          <w:lang w:eastAsia="en-US"/>
        </w:rPr>
      </w:pPr>
    </w:p>
    <w:p w:rsidR="00C373E0" w:rsidRDefault="00C373E0" w:rsidP="00C373E0">
      <w:pPr>
        <w:suppressAutoHyphens w:val="0"/>
        <w:rPr>
          <w:rFonts w:cs="Calibri"/>
          <w:b/>
          <w:i/>
          <w:color w:val="1D1B11"/>
          <w:sz w:val="24"/>
          <w:szCs w:val="24"/>
          <w:lang w:eastAsia="en-US"/>
        </w:rPr>
      </w:pPr>
      <w:bookmarkStart w:id="0" w:name="_GoBack"/>
      <w:bookmarkEnd w:id="0"/>
      <w:r w:rsidRPr="00702148">
        <w:rPr>
          <w:rFonts w:cs="Calibri"/>
          <w:b/>
          <w:i/>
          <w:color w:val="1D1B11"/>
          <w:sz w:val="24"/>
          <w:szCs w:val="24"/>
          <w:lang w:eastAsia="en-US"/>
        </w:rPr>
        <w:t>Odczynniki</w:t>
      </w:r>
      <w:r>
        <w:rPr>
          <w:rFonts w:cs="Calibri"/>
          <w:b/>
          <w:i/>
          <w:color w:val="1D1B11"/>
          <w:sz w:val="24"/>
          <w:szCs w:val="24"/>
          <w:lang w:eastAsia="en-US"/>
        </w:rPr>
        <w:t>,</w:t>
      </w:r>
      <w:r w:rsidRPr="00702148">
        <w:rPr>
          <w:rFonts w:cs="Calibri"/>
          <w:b/>
          <w:i/>
          <w:color w:val="1D1B11"/>
          <w:sz w:val="24"/>
          <w:szCs w:val="24"/>
          <w:lang w:eastAsia="en-US"/>
        </w:rPr>
        <w:t xml:space="preserve"> akcesoria i wyroby medyczne jednorazowego użytku w ilości zapewniającej wykonanie określonych w SIWZ badań:</w:t>
      </w:r>
    </w:p>
    <w:p w:rsidR="00C373E0" w:rsidRPr="00E11DBD" w:rsidRDefault="00C373E0" w:rsidP="00C373E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DBD">
        <w:rPr>
          <w:rFonts w:ascii="Times New Roman" w:eastAsia="Times New Roman" w:hAnsi="Times New Roman"/>
          <w:sz w:val="24"/>
          <w:szCs w:val="24"/>
          <w:lang w:eastAsia="ar-SA"/>
        </w:rPr>
        <w:t>WYKONAWCA INFORMACJĘ O ODCZYNNIKACH, AKCESORIACH I KRWI KONTROLNEJ PRZEKAZUJE Z WYSZCZEGÓLNIENIEM WSZYSTKICH TYPÓW I RODZAJÓW PRODUKTÓW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E11DBD">
        <w:rPr>
          <w:rFonts w:ascii="Times New Roman" w:eastAsia="Times New Roman" w:hAnsi="Times New Roman"/>
          <w:sz w:val="24"/>
          <w:szCs w:val="24"/>
          <w:lang w:eastAsia="ar-SA"/>
        </w:rPr>
        <w:t>Z PRECYZYJNĄ INFORMACJĄ O CENACH 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E11DBD">
        <w:rPr>
          <w:rFonts w:ascii="Times New Roman" w:eastAsia="Times New Roman" w:hAnsi="Times New Roman"/>
          <w:sz w:val="24"/>
          <w:szCs w:val="24"/>
          <w:lang w:eastAsia="ar-SA"/>
        </w:rPr>
        <w:t>DNOSTKOWYCH PRODUKTÓW I ICH NUMERAC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H </w:t>
      </w:r>
      <w:r w:rsidRPr="00E11DBD">
        <w:rPr>
          <w:rFonts w:ascii="Times New Roman" w:eastAsia="Times New Roman" w:hAnsi="Times New Roman"/>
          <w:sz w:val="24"/>
          <w:szCs w:val="24"/>
          <w:lang w:eastAsia="ar-SA"/>
        </w:rPr>
        <w:t>KATALOGOWYCH.</w:t>
      </w:r>
    </w:p>
    <w:p w:rsidR="00C373E0" w:rsidRPr="00A21DED" w:rsidRDefault="00C373E0" w:rsidP="00C373E0">
      <w:pPr>
        <w:spacing w:after="0"/>
        <w:jc w:val="both"/>
        <w:rPr>
          <w:rFonts w:cs="Calibri"/>
          <w:color w:val="1D1B11"/>
          <w:sz w:val="24"/>
          <w:szCs w:val="24"/>
        </w:rPr>
      </w:pPr>
      <w:r w:rsidRPr="00E11DBD">
        <w:rPr>
          <w:rFonts w:ascii="Times New Roman" w:hAnsi="Times New Roman"/>
          <w:sz w:val="24"/>
          <w:szCs w:val="24"/>
          <w:lang w:eastAsia="ar-SA"/>
        </w:rPr>
        <w:t>W PRZYPADKU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E11DBD">
        <w:rPr>
          <w:rFonts w:ascii="Times New Roman" w:hAnsi="Times New Roman"/>
          <w:sz w:val="24"/>
          <w:szCs w:val="24"/>
          <w:lang w:eastAsia="ar-SA"/>
        </w:rPr>
        <w:t xml:space="preserve"> GDY W TRAKCIE OKRESU DZIER</w:t>
      </w:r>
      <w:r>
        <w:rPr>
          <w:rFonts w:ascii="Times New Roman" w:hAnsi="Times New Roman"/>
          <w:sz w:val="24"/>
          <w:szCs w:val="24"/>
          <w:lang w:eastAsia="ar-SA"/>
        </w:rPr>
        <w:t>Ż</w:t>
      </w:r>
      <w:r w:rsidRPr="00E11DBD">
        <w:rPr>
          <w:rFonts w:ascii="Times New Roman" w:hAnsi="Times New Roman"/>
          <w:sz w:val="24"/>
          <w:szCs w:val="24"/>
          <w:lang w:eastAsia="ar-SA"/>
        </w:rPr>
        <w:t>AWY OKAŻE SIĘ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E11DBD">
        <w:rPr>
          <w:rFonts w:ascii="Times New Roman" w:hAnsi="Times New Roman"/>
          <w:sz w:val="24"/>
          <w:szCs w:val="24"/>
          <w:lang w:eastAsia="ar-SA"/>
        </w:rPr>
        <w:t xml:space="preserve"> ŻE DO WYKONANIA WSKAZANEJ PRZEZ ZAMAWIAJACEGO LICZBY BADAŃ KONIECZNE JEST DOSTARCZENIE INNYCH LUB WIĘKSZEJ LICZBY PRODUKTÓW NIŻ ZADEKLAROWANA PRZEZ WYKONAWCĘ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E11DBD">
        <w:rPr>
          <w:rFonts w:ascii="Times New Roman" w:hAnsi="Times New Roman"/>
          <w:sz w:val="24"/>
          <w:szCs w:val="24"/>
          <w:lang w:eastAsia="ar-SA"/>
        </w:rPr>
        <w:t xml:space="preserve"> WÓWCZAS PRODUKTY TE W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E11DBD">
        <w:rPr>
          <w:rFonts w:ascii="Times New Roman" w:hAnsi="Times New Roman"/>
          <w:sz w:val="24"/>
          <w:szCs w:val="24"/>
          <w:lang w:eastAsia="ar-SA"/>
        </w:rPr>
        <w:t>KONAWCA</w:t>
      </w:r>
      <w:r>
        <w:rPr>
          <w:rFonts w:ascii="Times New Roman" w:hAnsi="Times New Roman"/>
          <w:sz w:val="24"/>
          <w:szCs w:val="24"/>
          <w:lang w:eastAsia="ar-SA"/>
        </w:rPr>
        <w:t xml:space="preserve"> DOSTARCZA</w:t>
      </w:r>
      <w:r w:rsidRPr="00E11DBD">
        <w:rPr>
          <w:rFonts w:ascii="Times New Roman" w:hAnsi="Times New Roman"/>
          <w:sz w:val="24"/>
          <w:szCs w:val="24"/>
          <w:lang w:eastAsia="ar-SA"/>
        </w:rPr>
        <w:t xml:space="preserve"> NA NORMALNYCH ZASADACH NIEODPŁATNIE</w:t>
      </w:r>
    </w:p>
    <w:tbl>
      <w:tblPr>
        <w:tblW w:w="145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24"/>
        <w:gridCol w:w="4355"/>
        <w:gridCol w:w="1137"/>
        <w:gridCol w:w="1581"/>
        <w:gridCol w:w="1190"/>
        <w:gridCol w:w="1006"/>
        <w:gridCol w:w="1086"/>
        <w:gridCol w:w="3624"/>
      </w:tblGrid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  <w:r>
              <w:rPr>
                <w:rFonts w:cs="Calibri"/>
                <w:b/>
                <w:i/>
                <w:color w:val="1D1B11"/>
                <w:sz w:val="20"/>
                <w:szCs w:val="20"/>
              </w:rPr>
              <w:t>L.p.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t>Opis przedmiotu zamówienia</w:t>
            </w:r>
          </w:p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t>(rodzaj oznaczenia)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rFonts w:cs="Calibri"/>
                <w:b/>
                <w:i/>
                <w:color w:val="1D1B11"/>
              </w:rPr>
            </w:pPr>
            <w:r w:rsidRPr="00702148">
              <w:rPr>
                <w:rFonts w:cs="Calibri"/>
                <w:b/>
                <w:i/>
                <w:color w:val="1D1B11"/>
              </w:rPr>
              <w:t xml:space="preserve">Ilość </w:t>
            </w:r>
          </w:p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t>Szt./op.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Default="00C373E0" w:rsidP="00BB2A46">
            <w:pPr>
              <w:spacing w:after="0" w:line="240" w:lineRule="auto"/>
              <w:jc w:val="center"/>
              <w:rPr>
                <w:rFonts w:cs="Calibri"/>
                <w:b/>
                <w:i/>
                <w:color w:val="1D1B11"/>
              </w:rPr>
            </w:pPr>
            <w:r w:rsidRPr="00702148">
              <w:rPr>
                <w:rFonts w:cs="Calibri"/>
                <w:b/>
                <w:i/>
                <w:color w:val="1D1B11"/>
              </w:rPr>
              <w:t>Cena jednostkowa zaoferowanego op</w:t>
            </w:r>
            <w:r>
              <w:rPr>
                <w:rFonts w:cs="Calibri"/>
                <w:b/>
                <w:i/>
                <w:color w:val="1D1B11"/>
              </w:rPr>
              <w:t>.</w:t>
            </w:r>
            <w:r w:rsidRPr="00702148">
              <w:rPr>
                <w:rFonts w:cs="Calibri"/>
                <w:b/>
                <w:i/>
                <w:color w:val="1D1B11"/>
              </w:rPr>
              <w:t>/szt</w:t>
            </w:r>
            <w:r>
              <w:rPr>
                <w:rFonts w:cs="Calibri"/>
                <w:b/>
                <w:i/>
                <w:color w:val="1D1B11"/>
              </w:rPr>
              <w:t>.</w:t>
            </w:r>
          </w:p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lastRenderedPageBreak/>
              <w:t>netto PLN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lastRenderedPageBreak/>
              <w:t>Wartość netto PLN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t xml:space="preserve">VAT </w:t>
            </w:r>
          </w:p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t>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rFonts w:cs="Calibri"/>
                <w:b/>
                <w:i/>
                <w:color w:val="1D1B11"/>
              </w:rPr>
            </w:pPr>
            <w:r w:rsidRPr="00702148">
              <w:rPr>
                <w:rFonts w:cs="Calibri"/>
                <w:b/>
                <w:i/>
                <w:color w:val="1D1B11"/>
              </w:rPr>
              <w:t>Wartość brutto PLN</w:t>
            </w:r>
          </w:p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lastRenderedPageBreak/>
              <w:t>(wartość netto + vat)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</w:pPr>
            <w:r w:rsidRPr="00702148">
              <w:rPr>
                <w:rFonts w:cs="Calibri"/>
                <w:b/>
                <w:i/>
                <w:color w:val="1D1B11"/>
              </w:rPr>
              <w:lastRenderedPageBreak/>
              <w:t>Typ (nazwa, numer katalogowy lub tym podobne)/producent/wielkość opakowania</w:t>
            </w:r>
          </w:p>
        </w:tc>
      </w:tr>
      <w:tr w:rsidR="00C373E0" w:rsidRP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BADANIE GRUPY KRWI DOROSŁYCH ABO/RH  NA JEDNEJ KARCIE – 12 900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WŁAŚCIWA PRÓBA KRZYŻOWA - 14 400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BADANIE PRZEGLĄDOWE PRZECIWCIAŁ NA 3 KRWINKACH WZORCOWYCH – 19 600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BADANIE GRUPY KRWI NOWORODKA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       </w:t>
            </w: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Z D(VI+) NA JEDNEJ KARCIE – 670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P</w:t>
            </w: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OTWIERDZENIE GRUPY KRWI PACJENTA Z D(VI-) INNY KLON ANTY-D NIŻ W POZYCJI NR 4 – 8600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  <w:p w:rsidR="00C373E0" w:rsidRDefault="00C373E0" w:rsidP="00BB2A46">
            <w:pPr>
              <w:spacing w:after="0" w:line="240" w:lineRule="auto"/>
              <w:jc w:val="center"/>
            </w:pPr>
          </w:p>
          <w:p w:rsidR="00C373E0" w:rsidRDefault="00C373E0" w:rsidP="00BB2A46">
            <w:pPr>
              <w:spacing w:after="0" w:line="240" w:lineRule="auto"/>
              <w:jc w:val="center"/>
            </w:pPr>
          </w:p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POTWIERDZENIE GRUPY KRWI DAWCY 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         </w:t>
            </w: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Z D(VI+) – 15 800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BADANIE UKŁADU RH+KELL W ZAKRESIE C-c-E-e-K-</w:t>
            </w:r>
            <w:proofErr w:type="spellStart"/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ctl</w:t>
            </w:r>
            <w:proofErr w:type="spellEnd"/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NA JEDNEJ KARCIE – 280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ZESTAW KRWINEK WZROCOWYCH DO BADANIA GRUP KRWI A1B – ADEKWATNIE DO PODANEJ ILOŚCI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ZESTAW 3 KRWINEK WZORCOWYCH DO BADANIA PRZEGLĄDOWEGO PRZECIWCIAŁ – ADEKWATNIE DO PODANEJ ILOŚCI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ODCZYNNIK LISS – ADEKWATNIE DO PODANEJ ILOŚCI BADAŃ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KOŃCÓWKI DO PIPET – 8000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ZESTAW DO CODZIENNEJ KONTROLI JAKOŚCI BADAŃ – ADEK</w:t>
            </w: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W</w:t>
            </w: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ATNIE NA CAŁY OKRES TRWANIA UMOWY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sz w:val="24"/>
                <w:szCs w:val="24"/>
                <w:lang w:eastAsia="ar-SA"/>
              </w:rPr>
              <w:t>KONTROLA ZEWNĘTRZNA MIĘDZYNARODOWA – 8 ZESTAWÓW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  <w:p w:rsidR="00C373E0" w:rsidRDefault="00C373E0" w:rsidP="00BB2A46">
            <w:pPr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  <w:p w:rsidR="00C373E0" w:rsidRDefault="00C373E0" w:rsidP="00BB2A46">
            <w:pPr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PŁYNY SYSTEMOWE (UZUPEŁNIA WYKONAWCA, ADEKWATNIE DO ZAOFEROWANEGO ANALIZATORA)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E0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0"/>
                <w:szCs w:val="20"/>
              </w:rPr>
            </w:pPr>
          </w:p>
        </w:tc>
      </w:tr>
      <w:tr w:rsidR="00C373E0" w:rsidRPr="00702148" w:rsidTr="00BB2A4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2148">
              <w:rPr>
                <w:rFonts w:cs="Calibri"/>
                <w:b/>
                <w:bCs/>
                <w:i/>
                <w:color w:val="1D1B11"/>
                <w:sz w:val="24"/>
                <w:szCs w:val="24"/>
              </w:rPr>
              <w:t>15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48">
              <w:rPr>
                <w:rFonts w:cs="Calibri"/>
                <w:b/>
                <w:i/>
                <w:color w:val="1D1B11"/>
                <w:sz w:val="24"/>
                <w:szCs w:val="24"/>
              </w:rPr>
              <w:t>RAZEM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b/>
                <w:i/>
                <w:color w:val="1D1B11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48">
              <w:rPr>
                <w:rFonts w:cs="Calibri"/>
                <w:i/>
                <w:color w:val="1D1B11"/>
                <w:sz w:val="24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E0" w:rsidRPr="00702148" w:rsidRDefault="00C373E0" w:rsidP="00BB2A46">
            <w:pPr>
              <w:snapToGrid w:val="0"/>
              <w:spacing w:after="0" w:line="240" w:lineRule="auto"/>
              <w:jc w:val="center"/>
              <w:rPr>
                <w:rFonts w:cs="Calibri"/>
                <w:i/>
                <w:color w:val="1D1B11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373E0" w:rsidRPr="00702148" w:rsidRDefault="00C373E0" w:rsidP="00BB2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148">
              <w:rPr>
                <w:rFonts w:cs="Calibri"/>
                <w:i/>
                <w:color w:val="1D1B11"/>
                <w:sz w:val="24"/>
                <w:szCs w:val="24"/>
              </w:rPr>
              <w:t>X</w:t>
            </w:r>
          </w:p>
        </w:tc>
      </w:tr>
    </w:tbl>
    <w:p w:rsidR="00C373E0" w:rsidRDefault="00C373E0" w:rsidP="00C373E0">
      <w:pPr>
        <w:spacing w:after="0"/>
        <w:rPr>
          <w:rFonts w:cs="Calibri"/>
          <w:color w:val="1D1B11"/>
          <w:sz w:val="20"/>
          <w:szCs w:val="20"/>
        </w:rPr>
      </w:pPr>
    </w:p>
    <w:p w:rsidR="00C373E0" w:rsidRDefault="00C373E0" w:rsidP="00C373E0">
      <w:pPr>
        <w:spacing w:after="0"/>
        <w:rPr>
          <w:rFonts w:cs="Calibri"/>
          <w:i/>
          <w:color w:val="1D1B11"/>
        </w:rPr>
      </w:pPr>
    </w:p>
    <w:p w:rsidR="00521B55" w:rsidRDefault="00521B55" w:rsidP="00C373E0">
      <w:pPr>
        <w:spacing w:after="0"/>
        <w:rPr>
          <w:rFonts w:cs="Calibri"/>
          <w:i/>
          <w:color w:val="1D1B11"/>
        </w:rPr>
      </w:pPr>
    </w:p>
    <w:p w:rsidR="00521B55" w:rsidRDefault="00521B55" w:rsidP="00C373E0">
      <w:pPr>
        <w:spacing w:after="0"/>
        <w:rPr>
          <w:rFonts w:cs="Calibri"/>
          <w:i/>
          <w:color w:val="1D1B11"/>
        </w:rPr>
      </w:pPr>
    </w:p>
    <w:p w:rsidR="00C373E0" w:rsidRPr="00C373E0" w:rsidRDefault="00C373E0" w:rsidP="00C373E0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111"/>
        <w:gridCol w:w="4859"/>
      </w:tblGrid>
      <w:tr w:rsidR="00C373E0" w:rsidRPr="00C373E0" w:rsidTr="00BB2A46">
        <w:tc>
          <w:tcPr>
            <w:tcW w:w="426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>Lp.</w:t>
            </w:r>
          </w:p>
        </w:tc>
        <w:tc>
          <w:tcPr>
            <w:tcW w:w="8970" w:type="dxa"/>
            <w:gridSpan w:val="2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b/>
                <w:sz w:val="23"/>
                <w:szCs w:val="24"/>
                <w:lang w:eastAsia="en-US"/>
              </w:rPr>
              <w:t>PARAMETRY TECHNICZNE (odpowiednie podkreślić, pogrubić)</w:t>
            </w:r>
          </w:p>
        </w:tc>
      </w:tr>
      <w:tr w:rsidR="00C373E0" w:rsidRPr="00C373E0" w:rsidTr="00BB2A46">
        <w:tc>
          <w:tcPr>
            <w:tcW w:w="426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Możliwość  ciągłego przechowywania wszystkich odczynników krwinkowych (do </w:t>
            </w: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badania izoaglutynin grupowych</w:t>
            </w: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 i badania przeglądowego przeciwciał) na pokładzie analizatora</w:t>
            </w:r>
          </w:p>
        </w:tc>
        <w:tc>
          <w:tcPr>
            <w:tcW w:w="4859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7 dni i więcej na pokładzie analizatora </w:t>
            </w: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–</w:t>
            </w: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 </w:t>
            </w: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20 </w:t>
            </w: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>pkt</w:t>
            </w:r>
          </w:p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Poniżej 7 dni na pokładzie analizatora </w:t>
            </w: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– 0 pkt</w:t>
            </w:r>
          </w:p>
        </w:tc>
      </w:tr>
      <w:tr w:rsidR="00C373E0" w:rsidRPr="00C373E0" w:rsidTr="00BB2A46">
        <w:tc>
          <w:tcPr>
            <w:tcW w:w="426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C373E0" w:rsidRPr="00C373E0" w:rsidRDefault="00C373E0" w:rsidP="00C373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 xml:space="preserve">Zabezpieczenie przed kontaminacją </w:t>
            </w: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- </w:t>
            </w:r>
            <w:r w:rsidRPr="00C373E0"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  <w:t>analizator wykonuje robocze zawiesiny krwinek badanych w jednorazowych naczynkach</w:t>
            </w:r>
          </w:p>
        </w:tc>
        <w:tc>
          <w:tcPr>
            <w:tcW w:w="4859" w:type="dxa"/>
            <w:shd w:val="clear" w:color="auto" w:fill="auto"/>
          </w:tcPr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TAK – 20 pkt.</w:t>
            </w:r>
          </w:p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</w:p>
          <w:p w:rsidR="00C373E0" w:rsidRPr="00C373E0" w:rsidRDefault="00C373E0" w:rsidP="00C373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  <w:lang w:eastAsia="en-US"/>
              </w:rPr>
            </w:pPr>
            <w:r w:rsidRPr="00C373E0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NIE – 0 pkt.</w:t>
            </w:r>
          </w:p>
        </w:tc>
      </w:tr>
    </w:tbl>
    <w:p w:rsidR="00521B55" w:rsidRDefault="00521B55" w:rsidP="00C373E0">
      <w:pPr>
        <w:spacing w:after="0"/>
        <w:rPr>
          <w:rFonts w:cs="Calibri"/>
          <w:i/>
          <w:color w:val="1D1B11"/>
        </w:rPr>
      </w:pPr>
    </w:p>
    <w:p w:rsidR="00C373E0" w:rsidRPr="00C373E0" w:rsidRDefault="00C373E0" w:rsidP="00C373E0">
      <w:pPr>
        <w:spacing w:after="0"/>
        <w:rPr>
          <w:rFonts w:cs="Calibri"/>
          <w:b/>
          <w:bCs/>
          <w:i/>
          <w:color w:val="1D1B11"/>
          <w:u w:val="single"/>
        </w:rPr>
      </w:pPr>
      <w:r w:rsidRPr="00C373E0">
        <w:rPr>
          <w:rFonts w:cs="Calibri"/>
          <w:b/>
          <w:bCs/>
          <w:i/>
          <w:color w:val="1D1B11"/>
          <w:u w:val="single"/>
        </w:rPr>
        <w:t>Uwaga:  W przypadku niewypełnienia tabelki powyżej-dotyczącej parametrów technicznych, Zamawiający przydzieli 0 punktów w ramach parametrów technicznych</w:t>
      </w:r>
    </w:p>
    <w:p w:rsidR="00C373E0" w:rsidRDefault="00C373E0" w:rsidP="00C373E0">
      <w:pPr>
        <w:spacing w:after="0"/>
        <w:rPr>
          <w:rFonts w:cs="Calibri"/>
          <w:i/>
          <w:color w:val="1D1B11"/>
        </w:rPr>
      </w:pPr>
    </w:p>
    <w:p w:rsidR="00C373E0" w:rsidRDefault="00C373E0" w:rsidP="00C373E0">
      <w:pPr>
        <w:spacing w:after="0"/>
        <w:rPr>
          <w:rFonts w:cs="Calibri"/>
          <w:i/>
          <w:color w:val="1D1B11"/>
        </w:rPr>
      </w:pPr>
    </w:p>
    <w:p w:rsidR="00C373E0" w:rsidRPr="00621560" w:rsidRDefault="00C373E0" w:rsidP="00C373E0">
      <w:pPr>
        <w:spacing w:after="0"/>
      </w:pPr>
      <w:r w:rsidRPr="00621560">
        <w:rPr>
          <w:rFonts w:cs="Calibri"/>
          <w:i/>
          <w:color w:val="1D1B11"/>
        </w:rPr>
        <w:t>Inne zobowiązania wykonawcy:</w:t>
      </w:r>
    </w:p>
    <w:p w:rsidR="00C373E0" w:rsidRPr="00621560" w:rsidRDefault="00C373E0" w:rsidP="00C373E0">
      <w:pPr>
        <w:numPr>
          <w:ilvl w:val="0"/>
          <w:numId w:val="1"/>
        </w:numPr>
        <w:spacing w:after="0"/>
      </w:pPr>
      <w:r w:rsidRPr="00621560">
        <w:rPr>
          <w:rFonts w:cs="Calibri"/>
          <w:i/>
          <w:color w:val="1D1B11"/>
        </w:rPr>
        <w:t>Bezpłatny pełny serwis użyczonego/wydzierżawionego sprzętu  przez czas trwania umowy (części, diagnostyka, robocizna, przeglądy itd.)</w:t>
      </w:r>
    </w:p>
    <w:p w:rsidR="00C373E0" w:rsidRPr="00621560" w:rsidRDefault="00C373E0" w:rsidP="00C373E0">
      <w:pPr>
        <w:numPr>
          <w:ilvl w:val="0"/>
          <w:numId w:val="1"/>
        </w:numPr>
        <w:spacing w:after="0" w:line="240" w:lineRule="auto"/>
        <w:jc w:val="both"/>
      </w:pPr>
      <w:r w:rsidRPr="00621560">
        <w:rPr>
          <w:rFonts w:cs="Calibri"/>
          <w:i/>
          <w:color w:val="1D1B11"/>
        </w:rPr>
        <w:t>Oświadczamy, że zapoznaliśmy się z opisem przedmiotu zamówienia i nie wnosimy do niego zastrzeżeń, oraz uważamy się za związanymi ofertą przez minimum 30 dni od upływu terminu składania ofert.</w:t>
      </w:r>
    </w:p>
    <w:p w:rsidR="00C373E0" w:rsidRPr="00621560" w:rsidRDefault="00C373E0" w:rsidP="00C373E0">
      <w:pPr>
        <w:numPr>
          <w:ilvl w:val="0"/>
          <w:numId w:val="1"/>
        </w:numPr>
        <w:spacing w:after="0" w:line="240" w:lineRule="auto"/>
        <w:jc w:val="both"/>
      </w:pPr>
      <w:r w:rsidRPr="00621560">
        <w:rPr>
          <w:rFonts w:cs="Calibri"/>
          <w:i/>
          <w:color w:val="1D1B11"/>
        </w:rPr>
        <w:t>Oświadczamy, że zapoznaliśmy się i akceptujemy postanowienia zawarte w projekcie umowy.</w:t>
      </w:r>
    </w:p>
    <w:p w:rsidR="00C373E0" w:rsidRPr="00621560" w:rsidRDefault="00C373E0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C373E0" w:rsidRPr="00621560" w:rsidRDefault="00C373E0" w:rsidP="00C373E0">
      <w:pPr>
        <w:spacing w:after="0" w:line="240" w:lineRule="auto"/>
        <w:ind w:left="720"/>
        <w:jc w:val="both"/>
      </w:pPr>
      <w:r w:rsidRPr="00621560">
        <w:rPr>
          <w:rFonts w:cs="Calibri"/>
          <w:i/>
          <w:color w:val="1D1B11"/>
        </w:rPr>
        <w:t>Łączna wartość oferty brutto (wraz z dzierżawą sprzętu): …………………………………………………PLN</w:t>
      </w:r>
    </w:p>
    <w:p w:rsidR="00C373E0" w:rsidRPr="00621560" w:rsidRDefault="00C373E0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C373E0" w:rsidRDefault="00C373E0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521B55" w:rsidRDefault="00521B55" w:rsidP="00C373E0">
      <w:pPr>
        <w:spacing w:after="0" w:line="240" w:lineRule="auto"/>
        <w:ind w:left="720"/>
        <w:jc w:val="both"/>
        <w:rPr>
          <w:rFonts w:cs="Calibri"/>
          <w:i/>
          <w:color w:val="1D1B11"/>
        </w:rPr>
      </w:pPr>
    </w:p>
    <w:p w:rsidR="00C373E0" w:rsidRPr="00A21DED" w:rsidRDefault="00C373E0" w:rsidP="00C373E0">
      <w:pPr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</w:rPr>
      </w:pPr>
      <w:r w:rsidRPr="00A21DED">
        <w:rPr>
          <w:rFonts w:ascii="Times New Roman" w:hAnsi="Times New Roman"/>
          <w:iCs/>
          <w:color w:val="1D1B11"/>
          <w:sz w:val="24"/>
          <w:szCs w:val="24"/>
        </w:rPr>
        <w:t>Nazwa Firmy:</w:t>
      </w:r>
      <w:r>
        <w:rPr>
          <w:rFonts w:ascii="Times New Roman" w:hAnsi="Times New Roman"/>
          <w:iCs/>
          <w:color w:val="1D1B11"/>
          <w:sz w:val="24"/>
          <w:szCs w:val="24"/>
        </w:rPr>
        <w:t xml:space="preserve"> ………………………………………………………</w:t>
      </w:r>
    </w:p>
    <w:p w:rsidR="00C373E0" w:rsidRDefault="00C373E0" w:rsidP="00C373E0">
      <w:pPr>
        <w:spacing w:after="0" w:line="240" w:lineRule="auto"/>
        <w:ind w:left="720"/>
        <w:jc w:val="both"/>
        <w:rPr>
          <w:rFonts w:cs="Calibri"/>
          <w:i/>
          <w:color w:val="1D1B11"/>
          <w:sz w:val="20"/>
          <w:szCs w:val="20"/>
        </w:rPr>
      </w:pPr>
    </w:p>
    <w:p w:rsidR="00C373E0" w:rsidRDefault="00C373E0" w:rsidP="00C373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Osoba/y upoważniona/e do kontaktu:………………………………………………..</w:t>
      </w:r>
    </w:p>
    <w:p w:rsidR="00C373E0" w:rsidRPr="00002B2A" w:rsidRDefault="00C373E0" w:rsidP="00C373E0">
      <w:pPr>
        <w:spacing w:after="0" w:line="240" w:lineRule="auto"/>
        <w:rPr>
          <w:lang w:val="en-US"/>
        </w:rPr>
      </w:pPr>
      <w:r w:rsidRPr="00002B2A">
        <w:rPr>
          <w:rFonts w:ascii="Times New Roman" w:eastAsia="Times New Roman" w:hAnsi="Times New Roman"/>
          <w:bCs/>
          <w:sz w:val="24"/>
          <w:szCs w:val="24"/>
          <w:lang w:val="en-US"/>
        </w:rPr>
        <w:t>Nr tel. ………………………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…….</w:t>
      </w:r>
    </w:p>
    <w:p w:rsidR="00C373E0" w:rsidRPr="00002B2A" w:rsidRDefault="00C373E0" w:rsidP="00C373E0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Nr fax………………….………….</w:t>
      </w:r>
    </w:p>
    <w:p w:rsidR="00C373E0" w:rsidRDefault="00C373E0" w:rsidP="00C373E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e-mail: ………………………………</w:t>
      </w:r>
    </w:p>
    <w:p w:rsidR="00C373E0" w:rsidRPr="00002B2A" w:rsidRDefault="00C373E0" w:rsidP="00C373E0">
      <w:pPr>
        <w:spacing w:after="0" w:line="240" w:lineRule="auto"/>
        <w:jc w:val="both"/>
        <w:rPr>
          <w:rFonts w:cs="Calibri"/>
          <w:i/>
          <w:color w:val="1D1B11"/>
          <w:sz w:val="20"/>
          <w:szCs w:val="20"/>
          <w:lang w:val="en-US"/>
        </w:rPr>
      </w:pPr>
    </w:p>
    <w:p w:rsidR="00C373E0" w:rsidRDefault="00C373E0" w:rsidP="00C373E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1D1B11"/>
          <w:sz w:val="24"/>
          <w:szCs w:val="24"/>
        </w:rPr>
      </w:pPr>
      <w:r>
        <w:rPr>
          <w:rFonts w:ascii="Times New Roman" w:eastAsia="Times New Roman" w:hAnsi="Times New Roman"/>
          <w:i/>
          <w:color w:val="1D1B11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/>
          <w:i/>
          <w:iCs/>
          <w:color w:val="1D1B11"/>
          <w:sz w:val="24"/>
          <w:szCs w:val="24"/>
        </w:rPr>
        <w:t>(wykonawca wykreśla powyższe oświadczenie w przypadku gdy go nie dotyczy).</w:t>
      </w:r>
    </w:p>
    <w:p w:rsidR="00C373E0" w:rsidRDefault="00C373E0" w:rsidP="00C373E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color w:val="1D1B11"/>
          <w:sz w:val="24"/>
          <w:szCs w:val="24"/>
        </w:rPr>
      </w:pPr>
    </w:p>
    <w:p w:rsidR="00C373E0" w:rsidRDefault="00C373E0" w:rsidP="00C373E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color w:val="1D1B11"/>
          <w:sz w:val="24"/>
          <w:szCs w:val="24"/>
        </w:rPr>
      </w:pPr>
    </w:p>
    <w:p w:rsidR="00C373E0" w:rsidRDefault="00C373E0" w:rsidP="00C373E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color w:val="1D1B11"/>
          <w:sz w:val="24"/>
          <w:szCs w:val="24"/>
        </w:rPr>
      </w:pPr>
    </w:p>
    <w:p w:rsidR="00C373E0" w:rsidRDefault="00C373E0" w:rsidP="00C373E0">
      <w:pPr>
        <w:spacing w:after="0" w:line="240" w:lineRule="auto"/>
        <w:jc w:val="both"/>
      </w:pPr>
    </w:p>
    <w:p w:rsidR="00C373E0" w:rsidRDefault="00C373E0" w:rsidP="00C373E0">
      <w:pPr>
        <w:spacing w:after="0" w:line="240" w:lineRule="auto"/>
        <w:ind w:left="720"/>
        <w:jc w:val="both"/>
      </w:pP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  <w:t>……………………………………………………………………..</w:t>
      </w:r>
    </w:p>
    <w:p w:rsidR="00C373E0" w:rsidRPr="00CA0E97" w:rsidRDefault="00C373E0" w:rsidP="00C373E0">
      <w:pPr>
        <w:spacing w:after="0" w:line="240" w:lineRule="auto"/>
        <w:ind w:left="720"/>
        <w:jc w:val="both"/>
      </w:pP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</w:r>
      <w:r>
        <w:rPr>
          <w:rFonts w:cs="Calibri"/>
          <w:i/>
          <w:color w:val="1D1B11"/>
          <w:sz w:val="20"/>
          <w:szCs w:val="20"/>
        </w:rPr>
        <w:tab/>
        <w:t>podpis</w:t>
      </w:r>
    </w:p>
    <w:p w:rsidR="00C373E0" w:rsidRDefault="00C373E0"/>
    <w:sectPr w:rsidR="00C373E0" w:rsidSect="00C37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0"/>
    <w:rsid w:val="00214956"/>
    <w:rsid w:val="00475ABA"/>
    <w:rsid w:val="00521B55"/>
    <w:rsid w:val="00C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E93E"/>
  <w15:chartTrackingRefBased/>
  <w15:docId w15:val="{7EB3547F-1D19-47B3-B128-6F46871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3E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2019-06-27T10:55:00Z</cp:lastPrinted>
  <dcterms:created xsi:type="dcterms:W3CDTF">2019-06-27T10:44:00Z</dcterms:created>
  <dcterms:modified xsi:type="dcterms:W3CDTF">2019-06-27T10:57:00Z</dcterms:modified>
</cp:coreProperties>
</file>