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321743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321743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321743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321743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321743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321743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321743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321743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321743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321743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321743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321743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321743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321743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321743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321743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321743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321743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321743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321743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321743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952AA4" w:rsidRPr="00321743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2</w:t>
      </w:r>
    </w:p>
    <w:p w:rsidR="00925A70" w:rsidRPr="00321743" w:rsidRDefault="00925A70" w:rsidP="00B7313A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321743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B7313A" w:rsidRDefault="00925A70" w:rsidP="00B7313A">
      <w:pPr>
        <w:pStyle w:val="Tytu"/>
        <w:spacing w:after="60" w:line="276" w:lineRule="auto"/>
        <w:ind w:left="-567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321743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321743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321743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321743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321743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321743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="00952AA4" w:rsidRPr="00321743">
        <w:rPr>
          <w:rFonts w:asciiTheme="majorHAnsi" w:hAnsiTheme="majorHAnsi" w:cstheme="majorHAnsi"/>
          <w:sz w:val="22"/>
          <w:szCs w:val="22"/>
        </w:rPr>
        <w:t>„Poprawa dostępności oraz jakości lecznictwa onkologicznego w woj. podkarpackim przez rozbudowę, modernizację i doposażenie Szpitala Specjalistycznego w Brzozowie Podkarpackiego Ośrodka Onkologicznego</w:t>
      </w:r>
      <w:r w:rsidR="00952AA4" w:rsidRPr="00321743">
        <w:rPr>
          <w:rFonts w:asciiTheme="majorHAnsi" w:hAnsiTheme="majorHAnsi" w:cstheme="majorHAnsi"/>
          <w:sz w:val="22"/>
          <w:szCs w:val="22"/>
          <w:lang w:val="pl-PL"/>
        </w:rPr>
        <w:t xml:space="preserve"> – zadanie nr. 2 pn. Doposażenie Zakładu Radioterapii oraz Apteki Szpitalnej wraz z modernizacją systemów wentylacji</w:t>
      </w:r>
      <w:r w:rsidR="00952AA4" w:rsidRPr="00321743">
        <w:rPr>
          <w:rFonts w:asciiTheme="majorHAnsi" w:hAnsiTheme="majorHAnsi" w:cstheme="majorHAnsi"/>
          <w:sz w:val="22"/>
          <w:szCs w:val="22"/>
        </w:rPr>
        <w:t>”</w:t>
      </w:r>
      <w:r w:rsidR="00952AA4" w:rsidRPr="00321743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321743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321743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321743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2174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2174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2174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21743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321743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321743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32174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21743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32174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321743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321743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321743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321743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321743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321743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AA4" w:rsidRPr="00321743" w:rsidRDefault="00952AA4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System planowania </w:t>
            </w:r>
            <w:r w:rsidR="00CF494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leczenia w </w:t>
            </w:r>
            <w:r w:rsidRPr="003217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radioterapii </w:t>
            </w:r>
            <w:r w:rsidR="00CF494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kompatybilny z systemem posiadanym przez Zamawiającego (Monaco)</w:t>
            </w:r>
          </w:p>
          <w:p w:rsidR="00925A70" w:rsidRPr="0032174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32174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32174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32174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28589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B7313A" w:rsidRPr="00B7313A" w:rsidRDefault="00B7313A" w:rsidP="00B7313A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UE)nr 952/2013 ustanawiającego  unijny kodeks celny.</w:t>
            </w:r>
          </w:p>
          <w:p w:rsidR="00925A70" w:rsidRPr="00321743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321743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321743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321743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321743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321743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321743" w:rsidRDefault="00497BFA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321743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321743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321743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321743" w:rsidRDefault="00925A70" w:rsidP="00497BFA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321743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321743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321743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32174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32174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32174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321743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321743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321743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321743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321743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321743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321743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321743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321743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321743">
        <w:rPr>
          <w:rFonts w:asciiTheme="majorHAnsi" w:hAnsiTheme="majorHAnsi" w:cstheme="majorHAnsi"/>
          <w:sz w:val="22"/>
          <w:szCs w:val="22"/>
        </w:rPr>
        <w:t xml:space="preserve"> </w:t>
      </w:r>
      <w:r w:rsidR="00B7313A">
        <w:rPr>
          <w:rFonts w:asciiTheme="majorHAnsi" w:hAnsiTheme="majorHAnsi" w:cstheme="majorHAnsi"/>
          <w:sz w:val="22"/>
          <w:szCs w:val="22"/>
        </w:rPr>
        <w:t xml:space="preserve">do </w:t>
      </w:r>
      <w:r w:rsidR="00560D48">
        <w:rPr>
          <w:rFonts w:asciiTheme="majorHAnsi" w:hAnsiTheme="majorHAnsi" w:cstheme="majorHAnsi"/>
          <w:sz w:val="22"/>
          <w:szCs w:val="22"/>
        </w:rPr>
        <w:t>18 tygodni</w:t>
      </w:r>
      <w:r w:rsidR="00B7313A">
        <w:rPr>
          <w:rFonts w:asciiTheme="majorHAnsi" w:hAnsiTheme="majorHAnsi" w:cstheme="majorHAnsi"/>
          <w:sz w:val="22"/>
          <w:szCs w:val="22"/>
        </w:rPr>
        <w:t xml:space="preserve"> od podpisania umowy</w:t>
      </w:r>
      <w:r w:rsidR="00BC583F">
        <w:rPr>
          <w:rFonts w:asciiTheme="majorHAnsi" w:hAnsiTheme="majorHAnsi" w:cstheme="majorHAnsi"/>
          <w:sz w:val="22"/>
          <w:szCs w:val="22"/>
        </w:rPr>
        <w:t>.</w:t>
      </w:r>
    </w:p>
    <w:p w:rsidR="00925A70" w:rsidRPr="00321743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321743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321743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321743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321743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321743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321743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321743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321743" w:rsidRDefault="00AA0D63" w:rsidP="00CF4947">
      <w:pPr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:rsidR="00925A70" w:rsidRPr="00321743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321743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321743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321743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321743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952AA4" w:rsidRPr="00321743">
        <w:rPr>
          <w:rFonts w:asciiTheme="majorHAnsi" w:eastAsia="Calibri" w:hAnsiTheme="majorHAnsi" w:cstheme="majorHAnsi"/>
          <w:b/>
          <w:sz w:val="22"/>
          <w:szCs w:val="22"/>
        </w:rPr>
        <w:t>2</w:t>
      </w:r>
    </w:p>
    <w:p w:rsidR="00925A70" w:rsidRPr="00B7313A" w:rsidRDefault="00925A70" w:rsidP="00B7313A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321743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321743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321743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321743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321743" w:rsidRDefault="00925A70" w:rsidP="000F15D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321743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321743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321743" w:rsidRDefault="00B12492" w:rsidP="00952AA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sz w:val="22"/>
                <w:szCs w:val="22"/>
              </w:rPr>
              <w:t>SYSTEM PLANOWANIA RADIOTERAPII  "MONACO"– 1 SZT.</w:t>
            </w:r>
          </w:p>
        </w:tc>
      </w:tr>
      <w:tr w:rsidR="00952AA4" w:rsidRPr="00321743" w:rsidTr="00055C6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sz w:val="22"/>
                <w:szCs w:val="22"/>
              </w:rPr>
              <w:t>Parametry główne</w:t>
            </w: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System fabrycznie nowy (wszystkie składowe komponenty rok produkcji </w:t>
            </w:r>
            <w:r w:rsidR="00B530E9"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nie starszy niż 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2026)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D11181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System wykorzystujący narzędzia sztucznej inteligencji do automatycznego konturowania, dający możliwość obrysowania ponad 100 struktur na obrazach TK. Zawiera</w:t>
            </w:r>
            <w:r w:rsidR="00C12B2D" w:rsidRPr="00321743">
              <w:rPr>
                <w:rFonts w:asciiTheme="majorHAnsi" w:hAnsiTheme="majorHAnsi" w:cstheme="majorHAnsi"/>
                <w:sz w:val="22"/>
                <w:szCs w:val="22"/>
              </w:rPr>
              <w:t>jący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narzędzia automatyzacji (protokoły, skrypty), ułatwia</w:t>
            </w:r>
            <w:r w:rsidR="00C12B2D" w:rsidRPr="00321743">
              <w:rPr>
                <w:rFonts w:asciiTheme="majorHAnsi" w:hAnsiTheme="majorHAnsi" w:cstheme="majorHAnsi"/>
                <w:sz w:val="22"/>
                <w:szCs w:val="22"/>
              </w:rPr>
              <w:t>jące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terapię adaptacyjną w praktyce klinicznej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5F54BC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System do planowania leczenia dla technik 3D, IMRT oraz VMAT (z funkcją obliczania rozkładu dawki)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5F54BC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Funkcjonalność importu/exportu danych (w tym planów leczenia wraz z rozkładem dawek) w formacie DICOM RT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5F54BC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Funkcjonalność manualnego konturowania struktur anatomicznych dla oferowanego systemu planowania leczenia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5F54BC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Funkcjonalność fuzji obrazów TK do planowania leczenia z referencyjnymi badaniami TK, MRI, PET,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5F54BC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System wyposażony w narzędzia do automatycznego konturowania na podstawie atlasów anatomicznych, oparte o algorytmy sztucznej inteligencji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5F54BC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Możliwość tworzenia biblioteki planów leczenia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5F54BC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Możliwość tworzenia skryptów jako narzędzie do automatycznego planowania leczenia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5F54BC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Obliczanie i wyświetlanie rozkładu dawki w postaci </w:t>
            </w:r>
            <w:proofErr w:type="spellStart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izodoz</w:t>
            </w:r>
            <w:proofErr w:type="spellEnd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2D oraz 3D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5F54BC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Funkcja planowania i optymalizacji dawki z wykorzystaniem funkcji narządów równoległych i szeregowych dla optymalizatora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5F54BC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Optymalizator oparty na wielu kryteriach (</w:t>
            </w:r>
            <w:proofErr w:type="spellStart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Multiciterial</w:t>
            </w:r>
            <w:proofErr w:type="spellEnd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Optimizaton</w:t>
            </w:r>
            <w:proofErr w:type="spellEnd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) lub narzędzie do generowania zestawu optymalnych kryteriów, na podstawie bazy wiedzy Użytkownika lub wielu Użytkowników.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5F54BC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Obliczanie i wyświetlanie objętościowych histogramów dawki (DVH) na wszystkich oferowanych stacjach planowania leczenia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CE3B53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Funkcjonalność sumowania kolejnych etapów leczenia na wszystkich oferowanych stacjach planowania leczenia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CE3B53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Algorytm obliczeniowy dla fotonowych wiązek terapeutycznych z i bez filtra spłaszczającego, emitowanych przez </w:t>
            </w:r>
            <w:r w:rsidR="00CE3B53" w:rsidRPr="00321743">
              <w:rPr>
                <w:rFonts w:asciiTheme="majorHAnsi" w:hAnsiTheme="majorHAnsi" w:cstheme="majorHAnsi"/>
                <w:sz w:val="22"/>
                <w:szCs w:val="22"/>
              </w:rPr>
              <w:t>posiadane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akcelerator</w:t>
            </w:r>
            <w:r w:rsidR="00CE3B53" w:rsidRPr="00321743"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, uwzględniający brak rozpraszania wstecznego od tkanek/obszarów o niskiej gęstości, dla technik </w:t>
            </w:r>
            <w:proofErr w:type="spellStart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konformalnych</w:t>
            </w:r>
            <w:proofErr w:type="spellEnd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, dynamicznych IMRT (typu </w:t>
            </w:r>
            <w:proofErr w:type="spellStart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dMLC</w:t>
            </w:r>
            <w:proofErr w:type="spellEnd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) oraz łukowych IMRT typu VMAT, dla wszystkich oferowanych fizycznych stacji planowania leczenia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CE3B53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Algorytm obliczania dawki dla techniki radioterapii 3D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CE3B53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Algorytm obliczeniowy dla fotonowych wiązek terapeutycznych, emitowanych przez</w:t>
            </w:r>
            <w:r w:rsidR="0048530E"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CE3B53"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posiadane 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akcelerator</w:t>
            </w:r>
            <w:r w:rsidR="00CE3B53" w:rsidRPr="00321743"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, bazujący na symulacjach Monte Carlo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CE3B53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Algorytm obliczeniowy dla fotonowych wiązek terapeutycznych, emitowanych prze</w:t>
            </w:r>
            <w:r w:rsidR="0048530E"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z </w:t>
            </w:r>
            <w:r w:rsidR="00CE3B53"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posiadane 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akcelerator</w:t>
            </w:r>
            <w:r w:rsidR="00CE3B53" w:rsidRPr="00321743"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, bazujący na symulacjach Monte Carlo oraz zoptymalizowany w zakresie wykorzystania metod obliczeniowych wykorzystujących technologię GPU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011BB2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Algorytm obliczeniowy dla elektronowych wiązek terapeutycznych, emitowanych przez </w:t>
            </w:r>
            <w:r w:rsidR="0048530E"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posiadane 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akcelerator</w:t>
            </w:r>
            <w:r w:rsidR="0048530E" w:rsidRPr="00321743"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, bazujący na symulacjach Monte Carlo oraz zoptymalizowany w zakresie wykorzystania metod obliczeniowych wykorzystujących technologię GPU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011BB2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4506E8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Algorytm obliczeniowy dla elektronowych wiązek terapeutycznych, emitowanych przez </w:t>
            </w:r>
            <w:r w:rsidR="00E03C73" w:rsidRPr="00321743">
              <w:rPr>
                <w:rFonts w:asciiTheme="majorHAnsi" w:hAnsiTheme="majorHAnsi" w:cstheme="majorHAnsi"/>
                <w:sz w:val="22"/>
                <w:szCs w:val="22"/>
              </w:rPr>
              <w:t>posiadane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akcelerator</w:t>
            </w:r>
            <w:r w:rsidR="00E03C73" w:rsidRPr="00321743"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, bazujący na symulacjach Monte Carlo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68187E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Algorytm optymalizujący dla technik dynamicznych IMRT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68187E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Algorytm optymalizujący dla technik łukowych IMRT typu VMAT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68187E" w:rsidP="00952AA4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Oferowany system planowania leczenia w pełni przygotowany do integracji z akceleratorem dla technik adaptacyjnych typu on-line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68187E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Alogorytm</w:t>
            </w:r>
            <w:proofErr w:type="spellEnd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optymalizujący zapewnia</w:t>
            </w:r>
            <w:r w:rsidR="0068187E" w:rsidRPr="00321743">
              <w:rPr>
                <w:rFonts w:asciiTheme="majorHAnsi" w:hAnsiTheme="majorHAnsi" w:cstheme="majorHAnsi"/>
                <w:sz w:val="22"/>
                <w:szCs w:val="22"/>
              </w:rPr>
              <w:t>jący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możliwość tworzenia map </w:t>
            </w:r>
            <w:proofErr w:type="spellStart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fluencji</w:t>
            </w:r>
            <w:proofErr w:type="spellEnd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z wykorzystaniem wirtualnego listka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952AA4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Alogorytm</w:t>
            </w:r>
            <w:proofErr w:type="spellEnd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optymalizujący zapewnia</w:t>
            </w:r>
            <w:r w:rsidR="0068187E" w:rsidRPr="00321743">
              <w:rPr>
                <w:rFonts w:asciiTheme="majorHAnsi" w:hAnsiTheme="majorHAnsi" w:cstheme="majorHAnsi"/>
                <w:sz w:val="22"/>
                <w:szCs w:val="22"/>
              </w:rPr>
              <w:t>jący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możliwość tworzenia map </w:t>
            </w:r>
            <w:proofErr w:type="spellStart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fluencji</w:t>
            </w:r>
            <w:proofErr w:type="spellEnd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z wykorzystaniem wirtualnego listka o szerokości w </w:t>
            </w:r>
            <w:proofErr w:type="spellStart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izocentrum</w:t>
            </w:r>
            <w:proofErr w:type="spellEnd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≤ 1mm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68187E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Pełna realizacja planów leczenia opracowanych w oferowanym systemie planowania leczenia na akceleratorach wykorzystywanych przez Zamawiającego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68187E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Optymalizator oferowanego systemu planowania leczenia w pełni wykorzystujący technologiczne możliwości realizacji technik leczenia przez akceleratory wykorzystywane przez Zamawiającego.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68187E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Oferowany system planowania leczenia zapewnia możliwość optymalizacji planów leczenia w zakresie ustawienia kąta ramienia akceleratora dla co najmniej 1024 punktów kontrolnych.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68187E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Funkcjonalność sporządzania raportów w postaci wydruku dokumentujących plan leczenia w formie histogramu rozkładu dawki w objętości tarczowej i narządach krytycznych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68187E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Struktura systemu planowania leczenia oparta o technologię infrastruktury typu serwer/klient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68187E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Oferowana konfiguracja systemu </w:t>
            </w:r>
            <w:r w:rsidR="0068187E"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musi 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obejm</w:t>
            </w:r>
            <w:r w:rsidR="0068187E" w:rsidRPr="00321743">
              <w:rPr>
                <w:rFonts w:asciiTheme="majorHAnsi" w:hAnsiTheme="majorHAnsi" w:cstheme="majorHAnsi"/>
                <w:sz w:val="22"/>
                <w:szCs w:val="22"/>
              </w:rPr>
              <w:t>ować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niezbędne wyposażenie komputerowe i programowe dla wszystkich oferowanych serwerów planowania leczenia spełniające wymogi producenta systemu planowania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68187E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Oferowany system planowania leczenia </w:t>
            </w:r>
            <w:r w:rsidR="00FA02D2"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musi 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realiz</w:t>
            </w:r>
            <w:r w:rsidR="00FA02D2" w:rsidRPr="00321743">
              <w:rPr>
                <w:rFonts w:asciiTheme="majorHAnsi" w:hAnsiTheme="majorHAnsi" w:cstheme="majorHAnsi"/>
                <w:sz w:val="22"/>
                <w:szCs w:val="22"/>
              </w:rPr>
              <w:t>ować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obliczenia z wykorzystaniem technologii obliczeń z wykorzystaniem kart graficznych (GPU)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Oferowany system planowania leczenia </w:t>
            </w:r>
            <w:r w:rsidR="00FA02D2"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musi 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zapewnia</w:t>
            </w:r>
            <w:r w:rsidR="00FA02D2" w:rsidRPr="00321743">
              <w:rPr>
                <w:rFonts w:asciiTheme="majorHAnsi" w:hAnsiTheme="majorHAnsi" w:cstheme="majorHAnsi"/>
                <w:sz w:val="22"/>
                <w:szCs w:val="22"/>
              </w:rPr>
              <w:t>ć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pełną kompatybilność w zakresie wykorzystania bazy danych pacjentów systemu Monaco wykorzystywanego przez Zamawiającego.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Pełna integracja oferowanego systemu planowania leczenia z wykorzystywanym przez Zamawiającego, systemem weryfikacji i zarządzania </w:t>
            </w:r>
            <w:proofErr w:type="spellStart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Mosaiq</w:t>
            </w:r>
            <w:proofErr w:type="spellEnd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  <w:highlight w:val="yellow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Konfiguracja oferowanego systemu planowania leczenia zapewnia</w:t>
            </w:r>
            <w:r w:rsidR="00FA02D2" w:rsidRPr="00321743">
              <w:rPr>
                <w:rFonts w:asciiTheme="majorHAnsi" w:hAnsiTheme="majorHAnsi" w:cstheme="majorHAnsi"/>
                <w:sz w:val="22"/>
                <w:szCs w:val="22"/>
              </w:rPr>
              <w:t>jąca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możliwość </w:t>
            </w:r>
            <w:r w:rsidRPr="00C718F3">
              <w:rPr>
                <w:rFonts w:asciiTheme="majorHAnsi" w:hAnsiTheme="majorHAnsi" w:cstheme="majorHAnsi"/>
                <w:bCs/>
                <w:sz w:val="22"/>
                <w:szCs w:val="22"/>
              </w:rPr>
              <w:t>planowania</w:t>
            </w:r>
            <w:r w:rsidRPr="00C718F3">
              <w:rPr>
                <w:rFonts w:asciiTheme="majorHAnsi" w:hAnsiTheme="majorHAnsi" w:cstheme="majorHAnsi"/>
                <w:sz w:val="22"/>
                <w:szCs w:val="22"/>
              </w:rPr>
              <w:t xml:space="preserve"> przez fizyków dla 16 jednoczasowych sesji systemu planowania oraz realizacji </w:t>
            </w:r>
            <w:r w:rsidRPr="00C718F3">
              <w:rPr>
                <w:rFonts w:asciiTheme="majorHAnsi" w:hAnsiTheme="majorHAnsi" w:cstheme="majorHAnsi"/>
                <w:bCs/>
                <w:sz w:val="22"/>
                <w:szCs w:val="22"/>
              </w:rPr>
              <w:t>obliczeń</w:t>
            </w:r>
            <w:r w:rsidRPr="00C718F3">
              <w:rPr>
                <w:rFonts w:asciiTheme="majorHAnsi" w:hAnsiTheme="majorHAnsi" w:cstheme="majorHAnsi"/>
                <w:sz w:val="22"/>
                <w:szCs w:val="22"/>
              </w:rPr>
              <w:t xml:space="preserve"> planów dla co najmniej 20 użytkowników jednoczasowo.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Funkcjonalność oferowanego systemu zapewnia</w:t>
            </w:r>
            <w:r w:rsidR="00FA02D2" w:rsidRPr="00321743">
              <w:rPr>
                <w:rFonts w:asciiTheme="majorHAnsi" w:hAnsiTheme="majorHAnsi" w:cstheme="majorHAnsi"/>
                <w:sz w:val="22"/>
                <w:szCs w:val="22"/>
              </w:rPr>
              <w:t>jąca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interfejs integrujący moduły planowania z zaawansowanymi modułami do konturowania.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Oferowana konfiguracja</w:t>
            </w:r>
            <w:r w:rsidR="00FA02D2"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musi 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zawier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="00FA02D2" w:rsidRPr="00321743">
              <w:rPr>
                <w:rFonts w:asciiTheme="majorHAnsi" w:hAnsiTheme="majorHAnsi" w:cstheme="majorHAnsi"/>
                <w:sz w:val="22"/>
                <w:szCs w:val="22"/>
              </w:rPr>
              <w:t>ć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zestaw licencji pozwalających na przeglądanie obrazów, wykonywanie fuzji, konturowanie oraz analizowanie planów leczenia oraz wszystkie inne licencje umożliwiające wykorzystanie wszystkich funkcji systemu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System posiad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ający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funkcje importu badań obrazowych w standardzie DICOM dla modalności: TK, 4D-KT, PET, MR, CBCT, </w:t>
            </w:r>
            <w:proofErr w:type="spellStart"/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RTStructure</w:t>
            </w:r>
            <w:proofErr w:type="spellEnd"/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System posiada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jący 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funkcję wyświetlania obrazów diagnostycznych TK, 4D-TK, PET, MR, CBCT.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Moduł posiada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jący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dedykowane algorytmy sztywnej oraz deformacyjnej fuzji dla obrazów różnych modalności: TK, MR, PET, CBCT.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System posiada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jący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dedykowane narzędzie do analizy jakości fuzji deformacyjnej.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System posiada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jący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funkcjonalność automatycznego konturowania struktur anatomicznych pacjenta na obrazach TK i MR w oparciu o algorytmy Sztucznej Inteligencji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System posiad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ający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funkcje ręcznego lub półautomatycznego konturowania.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System posiada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jący 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narzędzie do konturowania, które wykorzystuje metodę deformacyjną do propagowania konturu z jednej warstwy na następną.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System posiad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ający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narzędzia do analizy obrazów 4D, automatycznej propagacji deformacyjnej konturu na obrazy w innej fazie oddechowej, automatycznego generowania ITV.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System posiada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jący 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funkcjonalność tworzenia reguł automatyzacji opartych na zdarzeniach DICOM przy użyciu zaawansowanych identyfikacji znaczników DICOM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System posiadający funkcjonalność propagacji struktur do innego badania obrazowego wraz z jednoczesną deformacją w celu dopasowania do anatomii pacjenta zawartej w docelowym badaniu (fuzja z deformacją konturów struktur).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System posiad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ający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narzędzia do przeglądania i oceny planów leczenia.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FA02D2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System posiad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ający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funkcjonalność fuzji deformacyjnej rozkładów dawek, ich analizy oraz tworzenia raportów.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A71741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System posiad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ający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funkcjonalność sumowania rozkładów dawek, w tym dawek biologicznych oraz możliwość ich eksportu.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A71741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System posiad</w:t>
            </w: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ający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funkcjonalność tworzenia własnych   bibliotek nazw narządów krytycznych.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321743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Moduł umożliwia</w:t>
            </w:r>
            <w:r w:rsidR="00321743"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jący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automatyzację transferu danych DICOM do posiadanego przez Zamawiającego systemów planowania leczenia Monaco bez konieczności wykonywania manualnych operacji import/export.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321743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W przypadku awarii dysku powodującej konieczność jego wymiany, dysk uszkodzony pozostaje u Zamawiającego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321743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Oferowana konfiguracja </w:t>
            </w:r>
            <w:r w:rsidR="00321743"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ma 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zawiera</w:t>
            </w:r>
            <w:r w:rsidR="00321743"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ć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nowe serwery przeznaczone do obsługi systemu planowania leczenia, w ilości minimum 5 sztuk. Serwery muszą być przystosowane do realizacji obliczeń planowania leczenia z wykorzystaniem technologii obliczeniowych opartych na kartach graficznych (GPU), zapewniając odpowiednią wydajność i niezawodność systemu.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321743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Klasa sprzętowa dla serwerów obliczeniowych w konfiguracji jakościowej co najmniej:</w:t>
            </w:r>
          </w:p>
          <w:p w:rsidR="00952AA4" w:rsidRPr="00321743" w:rsidRDefault="00952AA4" w:rsidP="00952AA4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- Model: HP DL380 generacji 11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br/>
              <w:t>- CPU: 2 X INTEL Xeon-G 6526Y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br/>
              <w:t>- RAM: 128 GB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br/>
              <w:t xml:space="preserve">- </w:t>
            </w:r>
            <w:proofErr w:type="spellStart"/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Drives</w:t>
            </w:r>
            <w:proofErr w:type="spellEnd"/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: 4 X 480GB SATA SSD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br/>
              <w:t>- Video Card: T400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br/>
              <w:t>- GPU: NVIDIA L40</w:t>
            </w:r>
          </w:p>
          <w:p w:rsidR="00952AA4" w:rsidRPr="00321743" w:rsidRDefault="00952AA4" w:rsidP="00952AA4">
            <w:pPr>
              <w:tabs>
                <w:tab w:val="center" w:pos="560"/>
              </w:tabs>
              <w:ind w:right="157"/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321743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LUB RÓWNOWAZNE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321743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52AA4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AA4" w:rsidRPr="00321743" w:rsidRDefault="00952AA4" w:rsidP="00952AA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2AA4" w:rsidRPr="00321743" w:rsidRDefault="00952AA4" w:rsidP="00952AA4">
            <w:pPr>
              <w:tabs>
                <w:tab w:val="center" w:pos="560"/>
              </w:tabs>
              <w:ind w:right="157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Oferowana konfiguracja wyposażenia komputerowego zapewnia</w:t>
            </w:r>
            <w:r w:rsidR="00321743"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jąca</w:t>
            </w: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integrację z posiadaną przez Zamawiającego linią terapeutyczną </w:t>
            </w:r>
            <w:proofErr w:type="spellStart"/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Mosaiq</w:t>
            </w:r>
            <w:proofErr w:type="spellEnd"/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-Monaco-</w:t>
            </w:r>
            <w:proofErr w:type="spellStart"/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VersHD</w:t>
            </w:r>
            <w:proofErr w:type="spellEnd"/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AA4" w:rsidRPr="00321743" w:rsidRDefault="00321743" w:rsidP="00952AA4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AA4" w:rsidRPr="00321743" w:rsidRDefault="00952AA4" w:rsidP="00952AA4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21743" w:rsidRPr="00321743" w:rsidTr="00F25B57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Uwagi dodatkowe </w:t>
            </w:r>
          </w:p>
        </w:tc>
      </w:tr>
      <w:tr w:rsidR="00321743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743" w:rsidRPr="00321743" w:rsidRDefault="00321743" w:rsidP="0032174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Oświadczenie, że przedmiot oferty jest kompletny i będzie po zainstalowaniu gotowy do pracy bez żadnych dodatkowych zakupów po stronie Zamawiającego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743" w:rsidRPr="00321743" w:rsidRDefault="00321743" w:rsidP="00321743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21743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743" w:rsidRPr="00321743" w:rsidRDefault="00321743" w:rsidP="0032174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Wykonanie wymaganych prawem i zaleceniami producenta przedmiotu umowy testów odbiorczych i akceptacyjnych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21743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743" w:rsidRPr="00321743" w:rsidRDefault="00321743" w:rsidP="0032174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Instalacja przedmiotu oferty w pomieszczeniach wskazanych przez Zamawiającego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743" w:rsidRPr="00321743" w:rsidRDefault="00321743" w:rsidP="00321743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21743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743" w:rsidRPr="00321743" w:rsidRDefault="00321743" w:rsidP="0032174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718F3">
              <w:rPr>
                <w:rFonts w:asciiTheme="majorHAnsi" w:hAnsiTheme="majorHAnsi" w:cstheme="majorHAnsi"/>
                <w:sz w:val="22"/>
                <w:szCs w:val="22"/>
              </w:rPr>
              <w:t>Instalacja przedmiotu oferty zapewnia prace, które będą niezbędne do prawidłowego wykorzystania systemów w warunkach klinicznych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743" w:rsidRPr="00321743" w:rsidRDefault="00321743" w:rsidP="00321743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21743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743" w:rsidRPr="00321743" w:rsidRDefault="00321743" w:rsidP="0032174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Deklaracja zgodności wystawiona przez wytwórcę na zgodność z wymaganiami zasadniczymi dla wyrobów, zgodnie z wymaganiami dyrektywy 98/79/EC lub przepisami wdrażającymi te wymagania do prawodawstwa krajowego, dostarczona nie później niż w momencie dostawy oferowanego systemu.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743" w:rsidRPr="00321743" w:rsidRDefault="00321743" w:rsidP="00321743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21743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743" w:rsidRPr="00321743" w:rsidRDefault="00321743" w:rsidP="0028589B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Wykonawca zapewnia przygotowanie modelu optymalizacji oraz obliczeń </w:t>
            </w:r>
            <w:proofErr w:type="spellStart"/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>MonteCarlo</w:t>
            </w:r>
            <w:proofErr w:type="spellEnd"/>
            <w:r w:rsidRPr="0032174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dla wykorzystania w technologii GPU.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743" w:rsidRPr="00321743" w:rsidRDefault="00321743" w:rsidP="00321743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21743" w:rsidRPr="00321743" w:rsidTr="0014492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Warunki serwisowe </w:t>
            </w:r>
          </w:p>
        </w:tc>
      </w:tr>
      <w:tr w:rsidR="00321743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743" w:rsidRPr="00321743" w:rsidRDefault="00321743" w:rsidP="0032174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Zdalny dostęp (on-line) do obsługi serwisowej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743" w:rsidRPr="00321743" w:rsidRDefault="00321743" w:rsidP="00321743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21743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743" w:rsidRPr="00321743" w:rsidRDefault="00321743" w:rsidP="0032174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Punkty serwisowe, lokalizacja (adres, nr tel. e-mail.)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743" w:rsidRPr="00321743" w:rsidRDefault="00321743" w:rsidP="00321743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21743" w:rsidRPr="00321743" w:rsidTr="007C62B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743" w:rsidRPr="00321743" w:rsidRDefault="00321743" w:rsidP="0032174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Czas reakcji/interwencji na zgłoszenie usterki do 12 godzin w dni robocze rozumiane jako dni od </w:t>
            </w:r>
            <w:proofErr w:type="spellStart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pn-pt</w:t>
            </w:r>
            <w:proofErr w:type="spellEnd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z wyłączeniem dni ustawowo wolnych od pracy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743" w:rsidRPr="00321743" w:rsidRDefault="00321743" w:rsidP="00321743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21743" w:rsidRPr="00321743" w:rsidTr="002E014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743" w:rsidRPr="00321743" w:rsidRDefault="00321743" w:rsidP="0032174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Czas skutecznej naprawy bez użycia części zamiennych licząc od momentu zgłoszenia awarii - max 48 godzin w dni robocze rozumiane, jako dni od </w:t>
            </w:r>
            <w:proofErr w:type="spellStart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pn-pt</w:t>
            </w:r>
            <w:proofErr w:type="spellEnd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z wyłączeniem dni ustawowo wolnych od pracy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743" w:rsidRPr="00321743" w:rsidRDefault="00321743" w:rsidP="00321743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21743" w:rsidRPr="00321743" w:rsidTr="002E014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743" w:rsidRPr="00321743" w:rsidRDefault="00321743" w:rsidP="0032174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Czas skutecznej naprawy z użyciem części zamiennych licząc od momentu zgłoszenia awarii - max 3 dni roboczych rozumiane, jako dni od </w:t>
            </w:r>
            <w:proofErr w:type="spellStart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pn-pt</w:t>
            </w:r>
            <w:proofErr w:type="spellEnd"/>
            <w:r w:rsidRPr="00321743">
              <w:rPr>
                <w:rFonts w:asciiTheme="majorHAnsi" w:hAnsiTheme="majorHAnsi" w:cstheme="majorHAnsi"/>
                <w:sz w:val="22"/>
                <w:szCs w:val="22"/>
              </w:rPr>
              <w:t xml:space="preserve"> z wyłączeniem dni ustawowo wolnych od pracy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743" w:rsidRPr="00321743" w:rsidRDefault="00321743" w:rsidP="00321743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21743" w:rsidRPr="00321743" w:rsidTr="002E014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743" w:rsidRPr="00321743" w:rsidRDefault="00321743" w:rsidP="0032174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Okres dostępności części zamiennych od daty sprzedaży przez min. 5 lat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743" w:rsidRPr="00321743" w:rsidRDefault="00321743" w:rsidP="00321743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21743" w:rsidRPr="00321743" w:rsidTr="00941C97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743" w:rsidRPr="00321743" w:rsidRDefault="00BC1445" w:rsidP="0032174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BC1445">
              <w:rPr>
                <w:rFonts w:asciiTheme="majorHAnsi" w:hAnsiTheme="majorHAnsi" w:cstheme="majorHAnsi"/>
                <w:sz w:val="22"/>
                <w:szCs w:val="22"/>
              </w:rPr>
              <w:t>Zgłoszenia serwisowe ujawnionych usterek akceleratora i awarii systemów współpracujących w dni robocze za pośrednictwem wiadomości e-mail, jednocześnie dopuszczając możliwość telefonicznego zgłoszenia usterek lub awarii, co należy niezwłocznie potwierdzić e-mailem.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743" w:rsidRPr="00321743" w:rsidRDefault="00321743" w:rsidP="00321743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21743" w:rsidRPr="00321743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321743" w:rsidRPr="00321743" w:rsidTr="00B75C6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1743" w:rsidRPr="00321743" w:rsidRDefault="00321743" w:rsidP="0032174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1743" w:rsidRPr="00321743" w:rsidRDefault="00D131BE" w:rsidP="00321743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131BE">
              <w:rPr>
                <w:rFonts w:asciiTheme="majorHAnsi" w:hAnsiTheme="majorHAnsi" w:cstheme="majorHAnsi"/>
                <w:sz w:val="22"/>
                <w:szCs w:val="22"/>
              </w:rPr>
              <w:t>Okres gwarancji na oferowany system w zakresie hardware i software min 24 miesiące od daty końcowego odbioru.</w:t>
            </w:r>
          </w:p>
        </w:tc>
        <w:tc>
          <w:tcPr>
            <w:tcW w:w="2128" w:type="dxa"/>
            <w:vAlign w:val="center"/>
          </w:tcPr>
          <w:p w:rsidR="00321743" w:rsidRPr="00321743" w:rsidRDefault="00321743" w:rsidP="00321743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321743" w:rsidRPr="00321743" w:rsidRDefault="00321743" w:rsidP="00321743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321743" w:rsidRPr="00321743" w:rsidRDefault="00321743" w:rsidP="00321743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321743" w:rsidRPr="00321743" w:rsidRDefault="00321743" w:rsidP="00321743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36 miesięcy – 20 pkt</w:t>
            </w:r>
          </w:p>
          <w:p w:rsidR="00321743" w:rsidRPr="00321743" w:rsidRDefault="00321743" w:rsidP="0028589B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21743">
              <w:rPr>
                <w:rFonts w:asciiTheme="majorHAnsi" w:hAnsiTheme="majorHAnsi" w:cstheme="majorHAnsi"/>
                <w:sz w:val="22"/>
                <w:szCs w:val="22"/>
              </w:rPr>
              <w:t>48 miesięcy – 40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743" w:rsidRPr="00321743" w:rsidRDefault="00321743" w:rsidP="0032174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321743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321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D2F" w:rsidRDefault="00350D2F" w:rsidP="000D4E7D">
      <w:r>
        <w:separator/>
      </w:r>
    </w:p>
  </w:endnote>
  <w:endnote w:type="continuationSeparator" w:id="0">
    <w:p w:rsidR="00350D2F" w:rsidRDefault="00350D2F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D2F" w:rsidRDefault="00350D2F" w:rsidP="000D4E7D">
      <w:r>
        <w:separator/>
      </w:r>
    </w:p>
  </w:footnote>
  <w:footnote w:type="continuationSeparator" w:id="0">
    <w:p w:rsidR="00350D2F" w:rsidRDefault="00350D2F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11BB2"/>
    <w:rsid w:val="000516CF"/>
    <w:rsid w:val="000D4E7D"/>
    <w:rsid w:val="000E0A72"/>
    <w:rsid w:val="000F15DA"/>
    <w:rsid w:val="000F2B22"/>
    <w:rsid w:val="0013102C"/>
    <w:rsid w:val="0014497D"/>
    <w:rsid w:val="00191B55"/>
    <w:rsid w:val="001E08AB"/>
    <w:rsid w:val="0020007B"/>
    <w:rsid w:val="00207081"/>
    <w:rsid w:val="0026721D"/>
    <w:rsid w:val="0028589B"/>
    <w:rsid w:val="002B3AE0"/>
    <w:rsid w:val="002C7A9C"/>
    <w:rsid w:val="002D0F79"/>
    <w:rsid w:val="00321743"/>
    <w:rsid w:val="003253CB"/>
    <w:rsid w:val="00343A27"/>
    <w:rsid w:val="0035036C"/>
    <w:rsid w:val="00350D2F"/>
    <w:rsid w:val="00352633"/>
    <w:rsid w:val="003C5407"/>
    <w:rsid w:val="003D203A"/>
    <w:rsid w:val="003F184B"/>
    <w:rsid w:val="004033C2"/>
    <w:rsid w:val="004177B1"/>
    <w:rsid w:val="004369F3"/>
    <w:rsid w:val="00451A90"/>
    <w:rsid w:val="004541AF"/>
    <w:rsid w:val="0048530E"/>
    <w:rsid w:val="00497BFA"/>
    <w:rsid w:val="004A3997"/>
    <w:rsid w:val="004F0F69"/>
    <w:rsid w:val="004F5166"/>
    <w:rsid w:val="00542FEA"/>
    <w:rsid w:val="00546DD7"/>
    <w:rsid w:val="00560D48"/>
    <w:rsid w:val="005640ED"/>
    <w:rsid w:val="005747F1"/>
    <w:rsid w:val="005A3C56"/>
    <w:rsid w:val="005F54BC"/>
    <w:rsid w:val="00601126"/>
    <w:rsid w:val="00637C20"/>
    <w:rsid w:val="00654C9B"/>
    <w:rsid w:val="0068187E"/>
    <w:rsid w:val="00685CF8"/>
    <w:rsid w:val="00686F97"/>
    <w:rsid w:val="006B503F"/>
    <w:rsid w:val="006F21AC"/>
    <w:rsid w:val="00720277"/>
    <w:rsid w:val="00731E97"/>
    <w:rsid w:val="007C0B61"/>
    <w:rsid w:val="007C62B5"/>
    <w:rsid w:val="007D77F2"/>
    <w:rsid w:val="007E5E03"/>
    <w:rsid w:val="007F0719"/>
    <w:rsid w:val="00823C89"/>
    <w:rsid w:val="008455E7"/>
    <w:rsid w:val="00874964"/>
    <w:rsid w:val="00892337"/>
    <w:rsid w:val="008D7142"/>
    <w:rsid w:val="00913CF5"/>
    <w:rsid w:val="00925A70"/>
    <w:rsid w:val="00952AA4"/>
    <w:rsid w:val="0096763E"/>
    <w:rsid w:val="00973EA9"/>
    <w:rsid w:val="00974702"/>
    <w:rsid w:val="00994802"/>
    <w:rsid w:val="009A1920"/>
    <w:rsid w:val="009A34F6"/>
    <w:rsid w:val="009B4488"/>
    <w:rsid w:val="00A71741"/>
    <w:rsid w:val="00AA0D63"/>
    <w:rsid w:val="00AA3A67"/>
    <w:rsid w:val="00AA5D53"/>
    <w:rsid w:val="00AE27E6"/>
    <w:rsid w:val="00B07645"/>
    <w:rsid w:val="00B12492"/>
    <w:rsid w:val="00B45E4E"/>
    <w:rsid w:val="00B530E9"/>
    <w:rsid w:val="00B7313A"/>
    <w:rsid w:val="00BC1445"/>
    <w:rsid w:val="00BC583F"/>
    <w:rsid w:val="00BF460B"/>
    <w:rsid w:val="00C12B2D"/>
    <w:rsid w:val="00C4595A"/>
    <w:rsid w:val="00C45B92"/>
    <w:rsid w:val="00C618BD"/>
    <w:rsid w:val="00C62B3D"/>
    <w:rsid w:val="00C65935"/>
    <w:rsid w:val="00C718F3"/>
    <w:rsid w:val="00C84415"/>
    <w:rsid w:val="00C91A55"/>
    <w:rsid w:val="00CE3B53"/>
    <w:rsid w:val="00CF2857"/>
    <w:rsid w:val="00CF4947"/>
    <w:rsid w:val="00D11181"/>
    <w:rsid w:val="00D129F8"/>
    <w:rsid w:val="00D131BE"/>
    <w:rsid w:val="00D21665"/>
    <w:rsid w:val="00D4717C"/>
    <w:rsid w:val="00D90E15"/>
    <w:rsid w:val="00DA7863"/>
    <w:rsid w:val="00DD7B9D"/>
    <w:rsid w:val="00DE28FF"/>
    <w:rsid w:val="00E01909"/>
    <w:rsid w:val="00E03C73"/>
    <w:rsid w:val="00EA2034"/>
    <w:rsid w:val="00EA5855"/>
    <w:rsid w:val="00EB1650"/>
    <w:rsid w:val="00EE1528"/>
    <w:rsid w:val="00F240CB"/>
    <w:rsid w:val="00F5767F"/>
    <w:rsid w:val="00F820AF"/>
    <w:rsid w:val="00F82CCF"/>
    <w:rsid w:val="00FA02D2"/>
    <w:rsid w:val="00FB3EDF"/>
    <w:rsid w:val="00FB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F383E"/>
  <w15:chartTrackingRefBased/>
  <w15:docId w15:val="{C0261064-D7E7-4E0B-8F5F-4D694A06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default0">
    <w:name w:val="default"/>
    <w:basedOn w:val="Normalny"/>
    <w:rsid w:val="004F0F69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5E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E0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CF391-34C2-49C0-BC76-ECF1CA61D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1796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18</cp:revision>
  <cp:lastPrinted>2026-08-31T08:58:00Z</cp:lastPrinted>
  <dcterms:created xsi:type="dcterms:W3CDTF">2026-07-08T08:08:00Z</dcterms:created>
  <dcterms:modified xsi:type="dcterms:W3CDTF">2026-08-31T09:03:00Z</dcterms:modified>
</cp:coreProperties>
</file>