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FB3EDF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FB3EDF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35036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6</w:t>
      </w:r>
    </w:p>
    <w:p w:rsidR="00925A70" w:rsidRPr="00FB3EDF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C11FE6" w:rsidRDefault="00925A70" w:rsidP="00C11FE6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FB3EDF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FB3EDF">
        <w:rPr>
          <w:rFonts w:asciiTheme="majorHAnsi" w:hAnsiTheme="majorHAnsi" w:cstheme="majorHAnsi"/>
          <w:sz w:val="22"/>
          <w:szCs w:val="22"/>
        </w:rPr>
        <w:t>„</w:t>
      </w:r>
      <w:r w:rsidR="004369F3" w:rsidRPr="00FB3EDF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FB3EDF">
        <w:rPr>
          <w:rFonts w:asciiTheme="majorHAnsi" w:hAnsiTheme="majorHAnsi" w:cstheme="majorHAnsi"/>
          <w:sz w:val="22"/>
          <w:szCs w:val="22"/>
        </w:rPr>
        <w:t>”</w:t>
      </w:r>
      <w:r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FB3EDF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FB3EDF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FB3EDF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0516CF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</w:t>
            </w:r>
            <w:r w:rsidR="00343A2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parat do znieczulenia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A5281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0C454D" w:rsidRPr="000C454D" w:rsidRDefault="000C454D" w:rsidP="000C454D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343A27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FB3EDF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FB3EDF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lastRenderedPageBreak/>
        <w:t>Termin dostawy:</w:t>
      </w:r>
      <w:r w:rsidRPr="00FB3EDF">
        <w:rPr>
          <w:rFonts w:asciiTheme="majorHAnsi" w:hAnsiTheme="majorHAnsi" w:cstheme="majorHAnsi"/>
          <w:sz w:val="22"/>
          <w:szCs w:val="22"/>
        </w:rPr>
        <w:t xml:space="preserve"> </w:t>
      </w:r>
      <w:r w:rsidR="00C11FE6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FB3EDF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Default="00925A70" w:rsidP="00C11FE6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FB3EDF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F02117" w:rsidRPr="00FB3EDF" w:rsidRDefault="00F02117" w:rsidP="00C11FE6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FB3EDF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38645B">
        <w:rPr>
          <w:rFonts w:asciiTheme="majorHAnsi" w:eastAsia="Calibri" w:hAnsiTheme="majorHAnsi" w:cstheme="majorHAnsi"/>
          <w:b/>
          <w:sz w:val="22"/>
          <w:szCs w:val="22"/>
        </w:rPr>
        <w:t>6</w:t>
      </w:r>
    </w:p>
    <w:p w:rsidR="00925A70" w:rsidRPr="00C11FE6" w:rsidRDefault="00925A70" w:rsidP="00C11FE6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FB3EDF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FB3EDF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FB3EDF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FB3EDF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FB3EDF" w:rsidRDefault="00343A27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APARAT DO ZNIECZULENIA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343A27" w:rsidRDefault="00343A27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Parametry ogólne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Aparat do znieczulania ogólnego dzieci i dorosłych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Zasilanie 230 V 50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Hz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Wbudowany blat do pisania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Zintegrowane z aparatem oświetlenie przestrzeni roboczej typu LED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Min. 3 szuflady na drobne akcesoria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Mobilny aparat, cztery koła jezdne, w tym minimum dwa koła blokowane centralnie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Min. 4 dodatkowe gniazda elektryczne 230V umożliwiające podłączenie dodatkowych urządzeń, gniazda z bezpiecznikami automatycznymi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Zasilanie gazowe (N2O, O2, powietrze) z sieci centralnej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Fabryczny uchwyt 10 l butli rezerwowych tlenowej i podtlenku azotu na tylnej ścianie aparatu. Reduktory w zestawie.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Prezentacja ciśnień gazów zasilających na ekranie aparatu do znieczulania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Zasilanie awaryjne aparatu na min. 90 minut; akumulator doładowywany w czasie pracy; wskaźnik poziomu naładowania na ekranie respiratora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Uchwyty 2 parowników mocowanych jednocześnie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podłączenia parownika do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sevofluranu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lub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desfluranu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.  Dwa gniazda aktywne. Zabezpieczenie przed podaniem dwóch środków wziewnych równocześnie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Parownik do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sevofluranu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desfluranu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na wyposażeniu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Parowniki sterowane elektroniczne z ekranu aparatu do znieczulenia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343A27" w:rsidRDefault="00343A27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System dystrybucji gazów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Precyzyjne przepływomierze elektroniczne dla tlenu, podtlenku azotu, powietrza. Wyświetlanie wartości przepływów w postaci elektronicznej lub tzw. wirtualnych przepływomierzy. Zakres min. tlen, powietrze: 0-15 l/min; N2O: 0-12 l/min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płynnej regulacji stężenia O2, środków wziewnych AA i przepływów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Szybka zmiana stężeń O2, przepływu świeżych gazów i środków wziewnych AA sterowana bezpośrednio z ekranu wentylatora (ekranowe przyciski szybkiego dostępu pozwalające na skokową zmianę stężeń O2, środków wziewnych AA i przepływów)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System automatycznego utrzymywania stężenia tlenu w mieszaninie oddechowej z podtlenkiem azotu na poziomie min. 25%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Elektroniczny mieszalnik świeżych gazów zapewniający utrzymanie ustawionego wdechowego stężenia tlenu przy zmianie wielkości przepływu świeżych gazów i utrzymanie ustawionego przepływu świeżych gazów przy zmianie stężenie tlenu w mieszaninie podawanej do pacjenta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Funkcja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ekonometru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(optymalizatora) znieczulenia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Dostosowanie do znieczulania z niskimi przepływami: ustawianie przepływu świeżych gazów od min. 200 ml/min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Przepływ wdechowy o zakresie osiągalnym min 170l/min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Wbudowany w aparat awaryjny przepływomierz O2+Powietrze układu okrężnego włączany automatycznie podczas awarii mieszalnika elektronicznego. Zakres do 15 l/min.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ustawienia przez użytkownika wartości końcowo </w:t>
            </w:r>
            <w:r w:rsidRPr="00304467">
              <w:rPr>
                <w:rFonts w:ascii="Calibri" w:hAnsi="Calibri" w:cs="Calibri"/>
                <w:bCs/>
                <w:sz w:val="22"/>
                <w:szCs w:val="22"/>
              </w:rPr>
              <w:t>wdechowego stężenia O</w:t>
            </w:r>
            <w:r w:rsidRPr="00304467">
              <w:rPr>
                <w:rFonts w:ascii="Calibri" w:hAnsi="Calibri" w:cs="Calibri"/>
                <w:bCs/>
                <w:sz w:val="22"/>
                <w:szCs w:val="22"/>
                <w:vertAlign w:val="subscript"/>
              </w:rPr>
              <w:t>2</w:t>
            </w:r>
            <w:r w:rsidRPr="00304467">
              <w:rPr>
                <w:rFonts w:ascii="Calibri" w:hAnsi="Calibri" w:cs="Calibri"/>
                <w:bCs/>
                <w:sz w:val="22"/>
                <w:szCs w:val="22"/>
              </w:rPr>
              <w:t xml:space="preserve"> i końcowo wydechowego stężenia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środka wziewnego na ekranie wentylatora i włączenie funkcji pozwalającej na automatyczne osiągnięcie nastawionych wartości poprzez automatyczną zmianę przepływów podawanej mieszaniny gazów oddechowych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343A27" w:rsidRPr="00FB3EDF" w:rsidRDefault="00343A27" w:rsidP="00343A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43A27">
              <w:rPr>
                <w:rFonts w:asciiTheme="majorHAnsi" w:hAnsiTheme="majorHAnsi" w:cstheme="majorHAnsi"/>
                <w:sz w:val="22"/>
                <w:szCs w:val="22"/>
              </w:rPr>
              <w:t>Możliwość automatycznej oceny zużycia środka wziewnego w godzinie znieczulenia z podaniem kosztu w PLN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343A27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</w:t>
            </w:r>
            <w:r w:rsidR="005747F1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  <w:p w:rsidR="00343A27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343A27" w:rsidRDefault="00343A27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Układ oddechowy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Układ oddechowy okrężny do wentylacji dorosłych i dzieci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Układ oddechowy fabrycznie podgrzewany, możliwe wyłączenie/ włączenie podgrzewania przez użytkownika w konfiguracji systemu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podłączenia układów bezzastawkowych, osobne wyjście bez konieczności rozłączania układu okrężnego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Wymiennik objętości będący zbiornikiem oddechu zwrotnego działający jako sztywny zasobnik bez elementów ruchomych, pozwalający na podaż wysokich objętości oddechowych do min. 1500 ml oraz stosowanie niskich przepływów świeżych gazów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Obejście tlenowe (bypass tlenowy) o wydajności min. 35 l/min.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Wbudowana regulowana zastawka nadciśnieniowa APL wentylacji ręcznej z funkcją</w:t>
            </w:r>
          </w:p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natychmiastowego zwolnienia ciśnienia w</w:t>
            </w:r>
          </w:p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układzie bez konieczności skręcania do</w:t>
            </w:r>
          </w:p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minimum oraz funkcją podświetlenia zastawki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Pochłaniacz dwutlenku węgla o budowie przeziernej o pojemności min. 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304467">
                <w:rPr>
                  <w:rFonts w:ascii="Calibri" w:hAnsi="Calibri" w:cs="Calibri"/>
                  <w:sz w:val="22"/>
                  <w:szCs w:val="22"/>
                </w:rPr>
                <w:t>1,5 l</w:t>
              </w:r>
            </w:smartTag>
            <w:r w:rsidRPr="00304467">
              <w:rPr>
                <w:rFonts w:ascii="Calibri" w:hAnsi="Calibri" w:cs="Calibri"/>
                <w:sz w:val="22"/>
                <w:szCs w:val="22"/>
              </w:rPr>
              <w:t>. Możliwość wymiany pochłaniacza w czasie pracy bez rozszczelnienia układu. Sygnalizacja odłączenia pochłaniacza.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Wizualizacja zastawek wdechowej i wydechowej w układzie okrężnym.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Układ oddechowy kompaktowy. Nadający się do sterylizacji w autoklawie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Eliminacja gazów anestetycznych poza salę operacyjną – aktywny odciąg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Respirator anestetyczny napędzany pneumatycznie, sterowany mikroprocesorowo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Automatyczna kompensacja dopływu świeżych gazów w trakcie pracy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podatności układu oddechowego wraz z automatyczną kompensacją w czasie pracy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5747F1" w:rsidRDefault="005747F1" w:rsidP="005747F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Tryby wentylacji</w:t>
            </w: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prowadzenia wentylacji ręcznej natychmiast po przełączeniu z wentylacji mechanicznej przy pomocy dźwigni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Wentylacja kontrolowana objętością VCV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Wentylacja kontrolowana ciśnieniem PCV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Wentylacja  w trybie SIMV: SIMV-PC, SIMV-VC, SIMV-VG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Tryb wentylacji CPAP+PSV z zabezpieczeniem na wypadek bezdechu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Wentylacja w trybie kontrolowanym ciśnieniem z gwarantowaną objętością: PCV-VG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rozbudowy o adaptacyjny tryb wentylacji w zamkniętej pętli oddechowej wg wzoru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Otis'a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dla pacjentów aktywnych i pasywnych oddechowo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rozbudowy o tryb APRV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Aparat wyposażony w tryb pracy w krążeniu pozaustrojowym, zapewniający: </w:t>
            </w:r>
          </w:p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wentylację ręczną w krążeniu pozaustrojowym z zawieszeniem odpowiednich alarmów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Aparat wyposażony tryb pracy w krążeniu pozaustrojowym, zapewniający wentylację mechaniczną w krążeniu pozaustrojowym z zawieszeniem alarmów objętości, bezdechu ciśnienia drogach oddechowych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Pauza w przepływie gazów do min. 2 minut w trybie wentylacji ręcznej i mechanicznej.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Automatyczna wielostopniowa rekrutacja pęcherzyków płucnych programowana i obrazowana na ekranie respiratora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Funkcja tlenoterapii (nie będąca trybem wentylacji) umożliwiająca podaż pacjentowi mieszanki powietrze/O2 o określonym - regulowanym przez użytkownika poziomie przepływu min. do 80 l/min. oraz wartości FiO2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5747F1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5747F1" w:rsidRPr="005747F1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>Parametr oceniany</w:t>
            </w:r>
          </w:p>
          <w:p w:rsidR="005747F1" w:rsidRPr="005747F1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5747F1" w:rsidRDefault="005747F1" w:rsidP="005747F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Regulacje</w:t>
            </w: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Dodatnie ciśnienie końcowo wydechowe PEEP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zakres</w:t>
            </w:r>
            <w:r>
              <w:rPr>
                <w:rFonts w:ascii="Calibri" w:hAnsi="Calibri" w:cs="Calibri"/>
                <w:sz w:val="22"/>
                <w:szCs w:val="22"/>
              </w:rPr>
              <w:t>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min. 0 do 40 cmH2O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Stosunku wdechu do wydechu – </w:t>
            </w:r>
            <w:r>
              <w:rPr>
                <w:rFonts w:ascii="Calibri" w:hAnsi="Calibri" w:cs="Calibri"/>
                <w:sz w:val="22"/>
                <w:szCs w:val="22"/>
              </w:rPr>
              <w:t>w zakresie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min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4:1 do 1:8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częstości oddechu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 zakresie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min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3 do 90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odd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./min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ciśnienia wdechowego od min 5 do 90 cmH2O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ciśnienia wspomagania od min 3 do 60 cmH2O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objętości oddechowej </w:t>
            </w:r>
            <w:r>
              <w:rPr>
                <w:rFonts w:ascii="Calibri" w:hAnsi="Calibri" w:cs="Calibri"/>
                <w:sz w:val="22"/>
                <w:szCs w:val="22"/>
              </w:rPr>
              <w:t>w zakresie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min: 10 – 2000 ml w trybach objętościowych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objętości oddechowej </w:t>
            </w:r>
            <w:r>
              <w:rPr>
                <w:rFonts w:ascii="Calibri" w:hAnsi="Calibri" w:cs="Calibri"/>
                <w:sz w:val="22"/>
                <w:szCs w:val="22"/>
              </w:rPr>
              <w:t>w zakresie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min: 5 – 2000 ml w trybach z gwarantowaną objętością np. PCV-VG, PRVC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Regulacja czasu wdechu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 zakresie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od min 0.2 do 8.0 sek.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Czas narastania ciśnienia min. 0 – 2 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pauzy wdechowej w zakresie min 5-60%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czułości wyzwalania w zakresie min. </w:t>
            </w:r>
          </w:p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0.2 - 15 l/min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czułości wyzwalania ciśnieniowego w zakresie min. 1 - 20 cmH2O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czułości wydechowej min. 5% - 70%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5747F1" w:rsidRDefault="005747F1" w:rsidP="005747F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niskiej i wysokiej objętości minutowej MV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niskiej i wysokiej objętości pojedynczego oddechu TV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Alarm niskiej i wysokiej częstości oddechów </w:t>
            </w:r>
            <w:r w:rsidR="00EA2034">
              <w:rPr>
                <w:rFonts w:ascii="Calibri" w:hAnsi="Calibri" w:cs="Calibri"/>
                <w:sz w:val="22"/>
                <w:szCs w:val="22"/>
              </w:rPr>
              <w:t>f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minimalnego i maksymalnego ciśnienia wdechowego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braku zasilania w energię elektryczną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Alarm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Apnea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minimalnego i maksymalnego stężenia tlenu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nieprawidłowego montażu lub odłączonego pochłaniacza CO2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Funkcja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autoustawiania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alarmów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7F0719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Automatyczny zapis z możliwością łatwego odczytu min. </w:t>
            </w:r>
            <w:r w:rsidR="007F0719">
              <w:rPr>
                <w:rFonts w:ascii="Calibri" w:hAnsi="Calibri" w:cs="Calibri"/>
                <w:sz w:val="22"/>
                <w:szCs w:val="22"/>
              </w:rPr>
              <w:t xml:space="preserve">5000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ostatnich komunikatów o alarmach i błędach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F0719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F0719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F0719" w:rsidRPr="007F0719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F0719">
              <w:rPr>
                <w:rFonts w:asciiTheme="majorHAnsi" w:hAnsiTheme="majorHAnsi" w:cstheme="majorHAnsi"/>
                <w:sz w:val="22"/>
                <w:szCs w:val="22"/>
              </w:rPr>
              <w:t>TAK –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 xml:space="preserve">2 </w:t>
            </w:r>
            <w:r w:rsidRPr="007F0719">
              <w:rPr>
                <w:rFonts w:asciiTheme="majorHAnsi" w:hAnsiTheme="majorHAnsi" w:cstheme="majorHAnsi"/>
                <w:sz w:val="22"/>
                <w:szCs w:val="22"/>
              </w:rPr>
              <w:t>pkt</w:t>
            </w:r>
          </w:p>
          <w:p w:rsidR="007F0719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F071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  <w:p w:rsidR="007F0719" w:rsidRPr="00FB3EDF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F0719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9" w:rsidRPr="007F0719" w:rsidRDefault="007F0719" w:rsidP="007F071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Pomiar i obrazowanie </w:t>
            </w: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objętości oddechowej TV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EA2034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objętości minutowej MV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EA2034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objętości minutowej MV przecieku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BF460B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częstotliwości oddechowej f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BF460B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I:E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BF460B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Ciśnienia szczytowego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Ciśnienia Plateau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Ciśnienia średniego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Ciśnienia PEEP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Krzywa ciśnienia i krzywa przepływu w funkcji czasu wyświetlane na ekranie aparatu przy wentylacji mechanicznej i ręcznej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Wyświetlanie do min. 5 krzywych jednocześnie na ekranie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Wyświetlanie pętli oddechowych: ciśnienie/objętość, przepływ/objętość, ciśnienie/przepływ</w:t>
            </w:r>
          </w:p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zapisania pętli referencyjnej  i  zapamiętania min. 4 wyświetlonych pętli spirometrycznych.</w:t>
            </w:r>
          </w:p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z wyświetlaniem oporów i podatności dróg oddechowych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Wyświetlanie całkowitego przepływu oraz stężenia tlenu świeżych gazów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Kolorowy ekran respiratora, przekątna min. 18’’, niewbudowany w korpus aparatu o rozdzielczości min. 1920x1080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Ekran umieszczony na ruchomym wysięgniku z regulacją obrotu ekranu 360</w:t>
            </w:r>
            <w:r w:rsidRPr="00304467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o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i kąta pochylenia.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Obsługa respiratora za pomocą pokrętła funkcyjnego i ekranu dotykowego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Trendy graficzne i tabelaryczne min. dla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TVe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MV,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Ppeak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Plateau, PEEP,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Pmean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, f, EtCO2, FiO2.</w:t>
            </w:r>
          </w:p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Trendy z min. 48 godz.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Prezentacja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minitrendów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przy krzywych oddechowych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zrzutu ekranu do pamięci respiratora, min. 10 ekranów. Możliwość zapisu na pamięci USB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Stale wyświetlana na ekranie aparatu aktualna data i czas oraz wbudowany stoper umożliwiający monitorowanie czasu trwania zabiegu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Funkcja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timera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(odliczanie do zera od ustawionego czasu) pomocna przy wykonywaniu czynności obwarowanych czasowo, prezentacja na ekranie respiratora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konfigurowania minimum 10-ciu niezależnych stron ekranu respiratora z zapisem w pamięci respiratora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Konfiguracja urządzenia może być eksportowana i importowana do/z innych aparatów tej serii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Automatyczna kalkulacja parametrów wentylacji po wprowadzeniu masy należnej IBW pacjenta.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Dodatkowy monitor min. 8” wbudowany w korpus aparatu prezentujący ciśnienie gazów zasilających, stan parowników (poziom napełnienia) oraz stan systemu odciągu gazów AGSS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5A3C56" w:rsidRDefault="005A3C56" w:rsidP="005A3C5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b/>
                <w:sz w:val="22"/>
                <w:szCs w:val="22"/>
              </w:rPr>
              <w:t>Kapnografia z analizą gazów anestetycznych i pomiarem stężenia tlenu (moduł aparatu)</w:t>
            </w: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stężenia CO2 (wdechowe i wydechowe)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stężenia tlenu (wdechowe i wydechowe) za pomocą czujnika paramagnetycznego. Nie dopuszcza się czujników galwanicznych.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Monitorowane gazy anestetyczne: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izofluran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enfluran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sewofluran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desfluran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(automatyczna identyfikacja środka)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Wyświetlanie krzywej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kapnograficznej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Obliczanie i wyświetlanie wartości MAC z uwzględnieniem wieku pacjenta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Wbudowany w aparat ssak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injektorowy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z regulacją siły ssania, napędzany sprężonymi gazami  z butlą wielorazowego użytku o pojemności min 1,0 l.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Automatyczny bez interakcji z personelem test kontrolny aparatu, sprawdzający jego działanie.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Dziennik testów kontrolnych prezentowany na ekranie aparatu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Komunikacja całego systemu z użytkownikiem w języku polskim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Aparat i monitor jednego producenta, kompatybilność modułowa (możliwość wykorzystania modułów aparatu w monitorze z wyświetlaniem parametrów dotyczących np. stężeń gazów)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Akcesoria pomiarowe w module gazowym (np. pułapki wodne) kompatybilne z posiadanymi przez zamawiającego modułami gazowymi w aparatach do znieczulania z serii WATO EX-65 oraz A8.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Instrukcja Obsługi w języku polskim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5A3C56" w:rsidRDefault="005A3C56" w:rsidP="005A3C5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Monitor pacjenta</w:t>
            </w: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Zasilanie sieciowe dostosowane do 230V / 50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Hz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oraz wewnętrzne zasilanie  akumulatorowe pozwalające na minimum 180 minut pracy w konfiguracji EKG,NIBP,SpO2.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Wyposażenie z złącza wejścia/wyjścia: 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co najmniej 3 gniazda USB do podłączenia klawiatury, myszki komputerowej, skanera kodów paskowych,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gniazdo RJ-45 do połączenia z siecią monitorowania</w:t>
            </w:r>
          </w:p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złącze HDMI do podłączenia zewnętrznego wyświetlacza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rozbudowy monitora o pomiary: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stopnia uśpienia BIS,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- EEG i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aEEG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inwazyjnego pomiaru rzutu serca metodą Swan-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Ganza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parametrów mechaniki oddechowej,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wolumetrycznego CO2,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parametrów metabolicznych RQ i EE,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przewodnictwa nerwowo-mięśniowego NMT,</w:t>
            </w:r>
          </w:p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oksymetrii tkankowej.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rozbudowy w przystawkę do wspierania wczesnej mobilizacji pacjenta w warunkach intensywnej terapii (na każdym stanowisku). Przystawka umożliwia połączenie bezprzewodowe oraz przewodowe (w wykorzystaniem pojedynczego przewodu) z transportowym monitorem pacjenta. Połączona z monitorem pacjenta zapewnia monitorowanie co najmniej: EKG, Saturacji, temperatury, ciśnienia nieinwazyjnego oraz ciśnienia inwazyjnego. Niska waga umożliwiająca noszenie przystawki przez pacjenta (max. 300 gram). Wbudowany akumulator umożliwiający pracę przez co najmniej 4 godziny w przypadku bezprzewodowego połączenia z monitorem pacjenta.</w:t>
            </w:r>
          </w:p>
        </w:tc>
        <w:tc>
          <w:tcPr>
            <w:tcW w:w="2128" w:type="dxa"/>
          </w:tcPr>
          <w:p w:rsidR="005A3C56" w:rsidRPr="005A3C56" w:rsidRDefault="005A3C56" w:rsidP="005A3C5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TAK/NIE</w:t>
            </w:r>
          </w:p>
          <w:p w:rsidR="005A3C56" w:rsidRPr="005A3C56" w:rsidRDefault="005A3C56" w:rsidP="005A3C5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Parametr oceniany:</w:t>
            </w:r>
          </w:p>
          <w:p w:rsidR="005A3C56" w:rsidRPr="005A3C56" w:rsidRDefault="005A3C56" w:rsidP="005A3C5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TAK – </w:t>
            </w:r>
            <w:r w:rsidR="00191B5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pkt</w:t>
            </w:r>
          </w:p>
          <w:p w:rsidR="005A3C56" w:rsidRPr="005A3C56" w:rsidRDefault="005A3C56" w:rsidP="005A3C5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NIE – 0 pkt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04467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rozbudowy o wbudowany komputer medyczny umożliwiający uruchamianie na ekranie monitora pacjenta zewnętrznych aplikacji klinicznych 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Ochrona co najmniej przed wnikaniem ciał obcych nie mniejszych niż 12,5mm oraz przed dostępem do części niebezpiecznych przez dotknięcie palcem; ochrona przed szkodliwym wpływem kropli wody spadających pionowo (IP21)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Kolorowy pojedynczy, pojemnościowy ekran dotykowy o przekątnej minimum 22", rozdzielczości co najmniej 1920x1080 pikseli i dużym kącie widzenia (powyżej 170</w:t>
            </w:r>
            <w:r w:rsidRPr="00304467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). Ekran wbudowany w jednostkę główną monitora z możliwością regulacji kąta pochylenia ekranu (regulacja pochylenia w zakresie co najmniej 10 stopni). Min. 12 krzywych dynamicznych wyświetlanych jednocześnie na ekranie. Miejsca na moduły pomiarowe w jednej obudowie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z ekranem.  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Funkcja automatycznego dostosowania  jasności ekranu do natężenia światła otoczenia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Obsługa wielodotykowa za pomocą gestów w tym co najmniej: </w:t>
            </w:r>
          </w:p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„przeciągnij i upuść” np. zmiana kolejności wyświetlanych krzywych bez wchodzenia do menu,</w:t>
            </w:r>
          </w:p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„uszczypnięcie” np. zmiana amplitudy krzywej,</w:t>
            </w:r>
          </w:p>
          <w:p w:rsidR="008D7142" w:rsidRPr="00304467" w:rsidRDefault="008D7142" w:rsidP="008D7142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przesunięcie w lewo lub w prawo dwoma palcami po ekranie w celu zmiany wyświetlanej konfiguracji ekranu.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Ustawianie granic alarmowych przez użytkownika oraz funkcja automatycznego ustawiania granic alarmowych na podstawie bieżących wartości parametrów. Ustawianie głośności alarmowania (co najmniej 9 poziomów do wyboru). Ustawianie wzorców sygnalizacji alarmowej (co najmniej 3 wzorce do wyboru).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Monitor wyposażony w funkcję trybu intubacji: zawieszenie działania alarmów związanych z pomiarami CO2 i/lub częstości oddechu mierzonego metodą impedancyjną na co najmniej 2 minuty, bez jednoczesnego wyłączania alarmów innych parametrów.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Monitor wyposażony w funkcję wzywania pomocy - użytkownik znajdujący się przy danym monitorze może uruchomić sygnalizację dźwiękową i wizualną na innych monitorach lub centrali znajdujących się na tym samym oddziale. Na innym monitorach i centrali uruchomi się dźwiękowa sygnalizacja alarmowa oraz pojawi się okno informujące, z którego monitora wysyłany jest sygnał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D7142" w:rsidRPr="00FB3EDF" w:rsidRDefault="008D7142" w:rsidP="008D71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Monitor wyposażony w funkcję analizującą jednocześnie sygnał EKG, sygnał krzywej </w:t>
            </w:r>
            <w:proofErr w:type="spellStart"/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pletyzmograficznej</w:t>
            </w:r>
            <w:proofErr w:type="spellEnd"/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 i sygnał IBP w celu uzyskania dokładniejszych wyników analizy arytmii i pomiarów częstości tętna. Wyświetlanie zestawienia z zaznaczeniem sygnału o najlepszej jakości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Monitor (moduł) transportowy z podglądem monitorowanych parametrów – Monitorowanie co najmniej EKG, NIBP, SpO2, 2Temp, 2IBP – (opis poszczególnych parametrów poniżej) podczas transportu pacjenta, będący jednocześnie modułem pomiarowym monitora pacjenta po włożeniu do miejsca parkingowego jednostki głównej.  Ekran monitora transportowego o przekątnej min. 5,5”. Rozdzielczość co najmniej 1200 x 700 pikseli. Ciężar monitora nie więcej niż 1 kg. Czas pracy na zasilaniu akumulatorowym co najmniej 4 godziny. Własna wewnętrzna pamięć monitora transportowego pozwalająca na zapamiętywanie co najmniej 24 godzin trendów monitorowanych parametrów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Kompatybilność monitora (modułu) transportowego z kardiomonitorami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BeneVision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N17 posiadanymi przez zamawiającego na bloku operacyjnym w celu zapewnienia ciągłości monitorowania pacjenta.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F82CCF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Moduł transportowy tego samego producenta co jednostka główna kardiomonitora. Zamawiający nie dopuszcza możliwości stosowania komputera oraz monitora medycznego w celu wizualizacji mierzonych parametrów oraz obsługi funkcji modułu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191B55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Obsługa monitora transportowego poprzez ekran dotykowy. Ochrona monitora przed wnikaniem ciał obcych nie mniejszych niż 1,0 mm oraz przed dostępem do części niebezpiecznych przez dotknięcie drutem; ochrona przed szkodliwym wpływem rozpryskiwanej wody – stopień ochrony co najmniej IP44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F82CCF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191B55" w:rsidRDefault="00191B55" w:rsidP="00191B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Mierzone parametry </w:t>
            </w: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EKG - pomiar częstości akcji serca. Zakres minimum 15-300/min. Ustawianie prędkości przesuwu krzywej EKG do wyboru co najmniej: 6.25; 12.5; 25; 50 mm/s. Ustawianie wzmocnienia krzywej EKG do wyboru co najmniej: x0.125; x0.25; 0.5; x1; x2; x4; auto.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Monitorowanie do 7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odprowadzeń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jednocześnie.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>W komplecie z monitorem: przewód EKG z kompletem 5 końcówek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Analiza arytmii – wykrywanie co najmniej 30 kategorii zaburzeń rytmu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w tym VF, ASYS, BRADY, TACHY, AF. Wykorzystywanie do analizy EKG co najmniej 4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odprowadzeń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EKG jednocześnie. Możliwość wyboru odprowadzeni do analizy przez użytkownika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Analiza odcinka ST – jednoczesny pomiar odchylenia odcinka ST w siedmiu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odprowadzeniach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w zakresie co najmniej od -2,0 do +2,0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mV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. Prezentacja zmian odchylenia ST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w postaci wzorcowych odcinków ST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z nanoszonymi na nie bieżącymi  odcinkami.  Tryb alarmowania ST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>w oparciu wartości bezwzględne oraz względne w stosunku do linii odniesienia. Możliwość ustawienia granic alarmowych dla pojedynczego ST oraz dla dwóch jednocześnie ST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Analiza zmian odcinka QT oraz obliczanie wartości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QTc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wg. co najmniej 4 wzorów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RESP – pomiar częstości oddechu metodą impedancyjną. Zakres pomiarowy częstości oddechu co najmniej od 5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do 200 R/min. Możliwość wyboru odprowadzenia do monitorowania respiracji.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Saturacja (SpO2). Zakres pomiarowy %SpO2 0-100%. Zakres pomiarowy częstości pulsu co najmniej 30-300 P/min. Jednoczesne wyświetlanie krzywej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pletyzmograficznej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oraz wartości %saturacji, częstości pulsu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i wskaźnika perfuzji. Alarm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desaturacji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. W komplecie z monitorem  przewód interfejsowy oraz wielorazowe czujniki SpO2 dla dorosłych typu klips na palec oraz klips na ucho.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Nieinwazyjny pomiar ciśnienia (NIPC) metodą oscylometryczną. Pomiar ręczny, automatyczny, ciągły (powtarzające się pomiary w czasie 5 min). Pomiar automatyczny z regulowanym interwałem co najmniej od 1 minuty do 8 godzin minut. Wyświetlanie na ekranie wartości ustawionego interwału oraz czasu jaki pozostał do kolejnego pomiaru. Pomiar sekwencyjny z co najmniej 5 programowalnymi cyklami, z indywidualnym ustawianiem ich czasu trwania i odstępów pomiarowych dla każdego cyklu.  Prezentacja wartości: skurczowej, rozkurczowej oraz średniej. Możliwość ustawiania przez użytkownika formatu wyświetlanych danych np. ciśnienie skurczowe, rozkurczowe i średnie lub tylko średnie. Funkcja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stazy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. Funkcja wstępnego ustawiania ciśnienia pompowania mankietu. Pomiar częstości pulsu wraz z nieinwazyjnym ciśnieniem co najmniej w zakresie od 30 do 300 P/min. W komplecie z każdym monitorem przewód oraz mankiety w rozmiarze średnim, dużym i b. dużym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temperatury, dwa tory pomiarowe. Zakres pomiarowy co najmniej od 5 do 50</w:t>
            </w:r>
            <w:r w:rsidRPr="00304467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C. Wyświetlanie T1, T2 oraz różnicy między nimi.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Inwazyjny pomiar ciśnienia(IPC), dwa tory pomiarowe. Możliwość jednoczesnego  wyświetlanie dwóch krzywych inwazyjnego ciśnienia ze wspólnym poziomem zero (nakładanie się krzywych). Wyświetlanie wartości ciśnień skurczowych, rozkurczowych i średnich. Zakres pomiarowy inwazyjnego ciśnienia co najmniej od -50 do +350 mmHg. Możliwość ustawiania przez użytkownika formatu wyświetlanych danych np. ciśnienie skurczowe, rozkurczowe i średnie lub tylko średnie. Obliczanie wartości PPV. Funkcja pomiaru PAWP. Pomiar częstości pulsu wraz z inwazyjnym ciśnieniem co najmniej w zakresie od 30 do 350 P/min.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Monitor wyposażony w funkcję obliczania punktacji do oceny poziomu świadomości wg. skali Glasgow (GCS)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Funkcja „oczekiwanie”, pozwalająca na wstrzymanie monitorowania pacjenta, związane np. z czasowym odłączeniem go od monitora, bez konieczności wyłączania monitora, i na szybkie, ponowne uruchomienie monitorowania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Funkcja „tryb prywatny” pozwalająca - w przypadku podłączenia urządzenia do centrali - na ukrycie danych przed pacjentem i wyświetlanie ich tylko na stanowisku centralnym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Monitor wyposażony w funkcję trybu resuscytacyjnego: po naciśnięciu dedykowanego przycisku i potwierdzeniu wyboru następuje zawieszenie działania alarmów fizjologicznych wszystkich parametrów, na ekranie wyświetlana jest informacja w formie piktogramu o aktywnym trybie resuscytacyjnym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191B55" w:rsidRDefault="00191B55" w:rsidP="00191B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Pomiar BIS</w:t>
            </w: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Moduł monitora z akcesoriami. Nie dopuszcza się osobnego urządzenia.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użycia modułu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BIS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również w aparacie do znieczulania.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TAK –</w:t>
            </w:r>
            <w:r w:rsidR="00F82CCF">
              <w:rPr>
                <w:rFonts w:asciiTheme="majorHAnsi" w:hAnsiTheme="majorHAnsi" w:cstheme="majorHAnsi"/>
                <w:sz w:val="22"/>
                <w:szCs w:val="22"/>
              </w:rPr>
              <w:t xml:space="preserve">1 </w:t>
            </w: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pkt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191B55" w:rsidRDefault="00191B55" w:rsidP="00191B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Pomiar zwiotczenia mięśni </w:t>
            </w: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Moduł NMT monitora z akcesoriami. Nie dopuszcza się osobnego urządzenia.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użycia modułu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NMT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również w aparacie do znieczulania.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F82CCF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color w:val="000000"/>
                <w:sz w:val="22"/>
                <w:szCs w:val="22"/>
              </w:rPr>
              <w:t>Dostępne tryby stymulacji:  co najmniej TOF, ST, PTC, DBS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467">
              <w:rPr>
                <w:rFonts w:ascii="Calibri" w:hAnsi="Calibri" w:cs="Calibri"/>
                <w:color w:val="000000"/>
                <w:sz w:val="22"/>
                <w:szCs w:val="22"/>
              </w:rPr>
              <w:t>W komplecie z modułem NMT czujnik wielorazowy na palec, niezbędne przewody połączeniowe.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191B55" w:rsidRPr="00FB3EDF" w:rsidRDefault="00191B55" w:rsidP="00191B5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191B55" w:rsidRPr="00FB3EDF" w:rsidRDefault="00191B55" w:rsidP="00191B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191B55" w:rsidRPr="00FB3EDF" w:rsidRDefault="00191B55" w:rsidP="00191B5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191B55" w:rsidRPr="00FB3EDF" w:rsidRDefault="00191B55" w:rsidP="00191B5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FB3EDF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FB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A23" w:rsidRDefault="00471A23" w:rsidP="000D4E7D">
      <w:r>
        <w:separator/>
      </w:r>
    </w:p>
  </w:endnote>
  <w:endnote w:type="continuationSeparator" w:id="0">
    <w:p w:rsidR="00471A23" w:rsidRDefault="00471A23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A23" w:rsidRDefault="00471A23" w:rsidP="000D4E7D">
      <w:r>
        <w:separator/>
      </w:r>
    </w:p>
  </w:footnote>
  <w:footnote w:type="continuationSeparator" w:id="0">
    <w:p w:rsidR="00471A23" w:rsidRDefault="00471A23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C454D"/>
    <w:rsid w:val="000D4E7D"/>
    <w:rsid w:val="0013102C"/>
    <w:rsid w:val="00191B55"/>
    <w:rsid w:val="001E08AB"/>
    <w:rsid w:val="001F0922"/>
    <w:rsid w:val="00207081"/>
    <w:rsid w:val="0026721D"/>
    <w:rsid w:val="002C7A9C"/>
    <w:rsid w:val="002D0F79"/>
    <w:rsid w:val="003253CB"/>
    <w:rsid w:val="00343A27"/>
    <w:rsid w:val="0035036C"/>
    <w:rsid w:val="00352633"/>
    <w:rsid w:val="0038645B"/>
    <w:rsid w:val="003C5407"/>
    <w:rsid w:val="003D203A"/>
    <w:rsid w:val="003F184B"/>
    <w:rsid w:val="004369F3"/>
    <w:rsid w:val="00451A90"/>
    <w:rsid w:val="004541AF"/>
    <w:rsid w:val="00471A23"/>
    <w:rsid w:val="004A3997"/>
    <w:rsid w:val="004F5166"/>
    <w:rsid w:val="00542FEA"/>
    <w:rsid w:val="005747F1"/>
    <w:rsid w:val="005A3C56"/>
    <w:rsid w:val="00601126"/>
    <w:rsid w:val="00637C20"/>
    <w:rsid w:val="00686F97"/>
    <w:rsid w:val="007A6EB7"/>
    <w:rsid w:val="007D77F2"/>
    <w:rsid w:val="007F0719"/>
    <w:rsid w:val="00823C89"/>
    <w:rsid w:val="008455E7"/>
    <w:rsid w:val="008D7142"/>
    <w:rsid w:val="00925A70"/>
    <w:rsid w:val="00994802"/>
    <w:rsid w:val="009E4D6E"/>
    <w:rsid w:val="00A52813"/>
    <w:rsid w:val="00AA0D63"/>
    <w:rsid w:val="00AA3A67"/>
    <w:rsid w:val="00AA5D53"/>
    <w:rsid w:val="00BF460B"/>
    <w:rsid w:val="00C11FE6"/>
    <w:rsid w:val="00C4595A"/>
    <w:rsid w:val="00C45B92"/>
    <w:rsid w:val="00C62B3D"/>
    <w:rsid w:val="00C801FB"/>
    <w:rsid w:val="00C91A55"/>
    <w:rsid w:val="00CF2857"/>
    <w:rsid w:val="00D129F8"/>
    <w:rsid w:val="00D4717C"/>
    <w:rsid w:val="00D90E15"/>
    <w:rsid w:val="00DA7863"/>
    <w:rsid w:val="00DE28FF"/>
    <w:rsid w:val="00EA2034"/>
    <w:rsid w:val="00EE1528"/>
    <w:rsid w:val="00F02117"/>
    <w:rsid w:val="00F240CB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6AA24A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524A7-3605-4DD6-88D6-2ECE8FF69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3379</Words>
  <Characters>20280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cp:lastPrinted>2026-07-03T09:40:00Z</cp:lastPrinted>
  <dcterms:created xsi:type="dcterms:W3CDTF">2026-06-19T10:06:00Z</dcterms:created>
  <dcterms:modified xsi:type="dcterms:W3CDTF">2026-08-26T09:03:00Z</dcterms:modified>
</cp:coreProperties>
</file>