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63206B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Załącznik nr 1 do SWZ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Wykonawca: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</w:t>
      </w:r>
      <w:r w:rsidRPr="0063206B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NIP</w:t>
      </w:r>
      <w:r w:rsidRPr="0063206B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KRS ……………………..………</w:t>
      </w:r>
    </w:p>
    <w:p w:rsidR="00925A70" w:rsidRPr="0063206B" w:rsidRDefault="00925A70" w:rsidP="00925A70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 xml:space="preserve">OFERTA – Część nr </w:t>
      </w:r>
      <w:r w:rsidR="00CF74AA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3</w:t>
      </w:r>
    </w:p>
    <w:p w:rsidR="00925A70" w:rsidRPr="0063206B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AD0A3F" w:rsidRDefault="00925A70" w:rsidP="00AD0A3F">
      <w:pPr>
        <w:pStyle w:val="Tytu"/>
        <w:spacing w:after="60" w:line="276" w:lineRule="auto"/>
        <w:jc w:val="both"/>
        <w:rPr>
          <w:rFonts w:asciiTheme="majorHAnsi" w:eastAsia="Times New Roman" w:hAnsiTheme="majorHAnsi" w:cs="Arial"/>
          <w:b w:val="0"/>
          <w:bCs w:val="0"/>
          <w:sz w:val="22"/>
          <w:szCs w:val="22"/>
          <w:lang w:eastAsia="pl-PL"/>
        </w:rPr>
      </w:pPr>
      <w:r w:rsidRPr="0063206B">
        <w:rPr>
          <w:rFonts w:asciiTheme="majorHAnsi" w:eastAsia="Calibri" w:hAnsiTheme="majorHAnsi" w:cs="Calibr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</w:t>
      </w:r>
      <w:r w:rsidR="00770E64" w:rsidRPr="0063206B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na zakup </w:t>
      </w:r>
      <w:r w:rsidRPr="0063206B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sprzętu medycznego, </w:t>
      </w:r>
      <w:r w:rsidRPr="0063206B">
        <w:rPr>
          <w:rFonts w:asciiTheme="majorHAnsi" w:eastAsia="Calibri" w:hAnsiTheme="majorHAnsi" w:cs="Calibri"/>
          <w:b w:val="0"/>
          <w:iCs/>
          <w:sz w:val="22"/>
          <w:szCs w:val="22"/>
          <w:lang w:val="pl-PL" w:eastAsia="ar-SA"/>
        </w:rPr>
        <w:t xml:space="preserve">w </w:t>
      </w:r>
      <w:r w:rsidRPr="0063206B">
        <w:rPr>
          <w:rFonts w:asciiTheme="majorHAnsi" w:eastAsia="Calibri" w:hAnsiTheme="majorHAnsi" w:cs="Calibri"/>
          <w:b w:val="0"/>
          <w:sz w:val="22"/>
          <w:szCs w:val="22"/>
          <w:lang w:eastAsia="ar-SA"/>
        </w:rPr>
        <w:t xml:space="preserve"> ramach zadania inwestycyjnego pod nazwą:</w:t>
      </w:r>
      <w:r w:rsidRPr="0063206B">
        <w:rPr>
          <w:rFonts w:asciiTheme="majorHAnsi" w:eastAsia="Calibri" w:hAnsiTheme="majorHAnsi" w:cs="Calibri"/>
          <w:b w:val="0"/>
          <w:sz w:val="22"/>
          <w:szCs w:val="22"/>
          <w:lang w:val="pl-PL" w:eastAsia="ar-SA"/>
        </w:rPr>
        <w:t xml:space="preserve"> </w:t>
      </w:r>
      <w:r w:rsidRPr="0063206B">
        <w:rPr>
          <w:rFonts w:asciiTheme="majorHAnsi" w:hAnsiTheme="majorHAnsi" w:cs="Arial"/>
          <w:sz w:val="22"/>
          <w:szCs w:val="22"/>
        </w:rPr>
        <w:t>„</w:t>
      </w:r>
      <w:r w:rsidR="004369F3" w:rsidRPr="0063206B">
        <w:rPr>
          <w:rFonts w:asciiTheme="majorHAnsi" w:hAnsiTheme="majorHAnsi" w:cs="Arial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63206B">
        <w:rPr>
          <w:rFonts w:asciiTheme="majorHAnsi" w:hAnsiTheme="majorHAnsi" w:cs="Arial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63206B">
        <w:rPr>
          <w:rFonts w:asciiTheme="majorHAnsi" w:hAnsiTheme="majorHAnsi" w:cs="Arial"/>
          <w:sz w:val="22"/>
          <w:szCs w:val="22"/>
        </w:rPr>
        <w:t>”</w:t>
      </w:r>
      <w:r w:rsidRPr="0063206B">
        <w:rPr>
          <w:rFonts w:asciiTheme="majorHAnsi" w:hAnsiTheme="majorHAnsi" w:cs="Arial"/>
          <w:sz w:val="22"/>
          <w:szCs w:val="22"/>
          <w:lang w:val="pl-PL"/>
        </w:rPr>
        <w:t xml:space="preserve"> </w:t>
      </w:r>
      <w:r w:rsidRPr="0063206B">
        <w:rPr>
          <w:rFonts w:asciiTheme="majorHAnsi" w:hAnsiTheme="majorHAnsi" w:cs="Calibr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63206B" w:rsidRPr="0063206B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63206B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</w:p>
          <w:p w:rsidR="00925A70" w:rsidRPr="0063206B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63206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63206B" w:rsidRPr="0063206B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3206B" w:rsidRDefault="007B1009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Diatermia 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14069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7E714D" w:rsidRPr="007E714D" w:rsidRDefault="007E714D" w:rsidP="007E714D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</w:t>
            </w:r>
            <w:r w:rsidR="004369F3" w:rsidRPr="0063206B">
              <w:rPr>
                <w:rFonts w:asciiTheme="majorHAnsi" w:eastAsia="Calibri" w:hAnsiTheme="majorHAnsi" w:cstheme="minorHAnsi"/>
                <w:sz w:val="22"/>
                <w:szCs w:val="22"/>
              </w:rPr>
              <w:t>6</w:t>
            </w:r>
            <w:r w:rsidRPr="0063206B">
              <w:rPr>
                <w:rFonts w:asciiTheme="majorHAnsi" w:eastAsia="Calibri" w:hAnsiTheme="majorHAnsi" w:cstheme="minorHAnsi"/>
                <w:sz w:val="22"/>
                <w:szCs w:val="22"/>
              </w:rPr>
              <w:t>) ……………………………………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3206B" w:rsidRDefault="007B1009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63206B" w:rsidRPr="0063206B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</w:tbl>
    <w:p w:rsidR="00925A70" w:rsidRPr="0063206B" w:rsidRDefault="00925A70" w:rsidP="00925A70">
      <w:pPr>
        <w:spacing w:after="60" w:line="276" w:lineRule="auto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</w:p>
    <w:p w:rsidR="00925A70" w:rsidRPr="0063206B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  <w:r w:rsidRPr="0063206B"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  <w:t>UWAGA!</w:t>
      </w:r>
    </w:p>
    <w:p w:rsidR="00925A70" w:rsidRPr="0063206B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Cs/>
          <w:sz w:val="22"/>
          <w:szCs w:val="22"/>
          <w:lang w:eastAsia="x-none"/>
        </w:rPr>
      </w:pPr>
      <w:r w:rsidRPr="0063206B">
        <w:rPr>
          <w:rFonts w:asciiTheme="majorHAnsi" w:eastAsia="Batang" w:hAnsiTheme="majorHAnsi" w:cs="Calibr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63206B">
        <w:rPr>
          <w:rFonts w:asciiTheme="majorHAnsi" w:hAnsiTheme="majorHAnsi" w:cs="Calibri"/>
          <w:b/>
          <w:sz w:val="22"/>
          <w:szCs w:val="22"/>
        </w:rPr>
        <w:lastRenderedPageBreak/>
        <w:t>Termin dostawy:</w:t>
      </w:r>
      <w:r w:rsidRPr="0063206B">
        <w:rPr>
          <w:rFonts w:asciiTheme="majorHAnsi" w:hAnsiTheme="majorHAnsi" w:cs="Calibri"/>
          <w:sz w:val="22"/>
          <w:szCs w:val="22"/>
        </w:rPr>
        <w:t xml:space="preserve"> </w:t>
      </w:r>
      <w:r w:rsidR="00AD0A3F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63206B">
        <w:rPr>
          <w:rFonts w:asciiTheme="majorHAnsi" w:hAnsiTheme="majorHAnsi" w:cs="Calibri"/>
          <w:b/>
          <w:sz w:val="22"/>
          <w:szCs w:val="22"/>
        </w:rPr>
        <w:t>Osoba do kontaktu</w:t>
      </w:r>
      <w:r w:rsidRPr="0063206B">
        <w:rPr>
          <w:rFonts w:asciiTheme="majorHAnsi" w:hAnsiTheme="majorHAnsi" w:cs="Calibri"/>
          <w:sz w:val="22"/>
          <w:szCs w:val="22"/>
        </w:rPr>
        <w:t>: …………………………………</w:t>
      </w: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63206B">
        <w:rPr>
          <w:rFonts w:asciiTheme="majorHAnsi" w:hAnsiTheme="majorHAnsi" w:cs="Calibri"/>
          <w:b/>
          <w:sz w:val="22"/>
          <w:szCs w:val="22"/>
        </w:rPr>
        <w:t>Adres e-mail:</w:t>
      </w:r>
      <w:r w:rsidRPr="0063206B">
        <w:rPr>
          <w:rFonts w:asciiTheme="majorHAnsi" w:hAnsiTheme="majorHAnsi" w:cs="Calibri"/>
          <w:sz w:val="22"/>
          <w:szCs w:val="22"/>
        </w:rPr>
        <w:t xml:space="preserve"> ……………………………………..</w:t>
      </w:r>
    </w:p>
    <w:p w:rsidR="00052114" w:rsidRPr="0063206B" w:rsidRDefault="00052114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63206B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63206B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</w:p>
    <w:p w:rsidR="00925A70" w:rsidRPr="0063206B" w:rsidRDefault="00925A70" w:rsidP="00925A70">
      <w:pPr>
        <w:spacing w:after="120"/>
        <w:jc w:val="center"/>
        <w:rPr>
          <w:rFonts w:asciiTheme="majorHAnsi" w:eastAsia="Calibri" w:hAnsiTheme="majorHAnsi" w:cs="Calibri Light"/>
          <w:b/>
          <w:sz w:val="22"/>
          <w:szCs w:val="22"/>
          <w:lang w:eastAsia="en-US"/>
        </w:rPr>
      </w:pPr>
      <w:r w:rsidRPr="0063206B">
        <w:rPr>
          <w:rFonts w:asciiTheme="majorHAnsi" w:eastAsia="Calibri" w:hAnsiTheme="majorHAnsi" w:cs="Calibri Light"/>
          <w:b/>
          <w:sz w:val="22"/>
          <w:szCs w:val="22"/>
        </w:rPr>
        <w:t xml:space="preserve">Część nr </w:t>
      </w:r>
      <w:r w:rsidR="00CF74AA">
        <w:rPr>
          <w:rFonts w:asciiTheme="majorHAnsi" w:eastAsia="Calibri" w:hAnsiTheme="majorHAnsi" w:cs="Calibri Light"/>
          <w:b/>
          <w:sz w:val="22"/>
          <w:szCs w:val="22"/>
        </w:rPr>
        <w:t>3</w:t>
      </w:r>
    </w:p>
    <w:p w:rsidR="00925A70" w:rsidRPr="00AD0A3F" w:rsidRDefault="00925A70" w:rsidP="00AD0A3F">
      <w:pPr>
        <w:spacing w:after="120"/>
        <w:jc w:val="center"/>
        <w:rPr>
          <w:rFonts w:asciiTheme="majorHAnsi" w:eastAsia="Calibri" w:hAnsiTheme="majorHAnsi" w:cs="Calibri Light"/>
          <w:sz w:val="22"/>
          <w:szCs w:val="22"/>
        </w:rPr>
      </w:pPr>
      <w:r w:rsidRPr="0063206B">
        <w:rPr>
          <w:rFonts w:asciiTheme="majorHAnsi" w:eastAsia="Calibri" w:hAnsiTheme="majorHAnsi" w:cs="Calibri Light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63206B" w:rsidRPr="0063206B" w:rsidTr="004369F3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63206B" w:rsidRDefault="00925A70">
            <w:pPr>
              <w:ind w:left="360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63206B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63206B" w:rsidRDefault="00925A70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63206B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sz w:val="22"/>
                <w:szCs w:val="22"/>
              </w:rPr>
              <w:t xml:space="preserve">Wartość oferowana przez Wykonawcę </w:t>
            </w:r>
            <w:r w:rsidRPr="0063206B">
              <w:rPr>
                <w:rFonts w:asciiTheme="majorHAnsi" w:hAnsiTheme="majorHAnsi" w:cstheme="min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63206B" w:rsidRPr="0063206B" w:rsidTr="0063206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3206B" w:rsidRPr="0063206B" w:rsidRDefault="0063206B" w:rsidP="0063206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DIATERMIA – 2 SZT.</w:t>
            </w: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Diatermia mono i bipolarna z funkcją zamykania dużych naczyń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Kolorowy ekran dotykowy do komunikacji z użytkownikiem o przekątnej min 10 cali, oprogramowanie w języku polskim.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TAK</w:t>
            </w:r>
          </w:p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10 cali – 0 pkt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powyżej 10 cali – 5 pkt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diagnozowania oraz wgrywania dostępnego oprogramowania przez sieć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WiFi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Możliwość zapamiętania minimum 100 programów i zapisania ich pod nazwą użytkownika lub procedury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TAK</w:t>
            </w:r>
          </w:p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100 programów – 0 pkt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highlight w:val="red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powyżej 100 programów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zmiany programu przez operatora w czasie zabiegu z uchwytu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monopolarnego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za pomocą kombinacji przycisków cięcie/koagulacja oraz wyłącznika nożnego posiadającego przycisk zmiany programów oraz z ekranu diatermii. Możliwość zmiany min 6 wcześniej zaprogramowanych nastaw za pomocą standardowego (dwuprzyciskowego) uchwytu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monopolarnego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oraz wyłącznika nożnego i z ekranu urządzenia.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Sterowanie urządzenia za pomocą efektów tkankowych. Urządzenie powinno dozować moc i inne parametry prądu w całkowicie automatyczny sposób tak aby był zachowany nastawiony efekt tkankowy. Nie dopuszcza się możliwości regulacji aparatu przez nastawianie mocy wyjściowej.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Funkcja zamykania dużych naczyń z automatycznym startem po prawidłowej aplikacji instrumentu z regulowanym czasem zwłoki oraz automatycznym wyłączeniem po osiągnięciu zamknięcia naczyń.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Warunkiem koniecznym jest możliwość aktywacji narzędzi do zamykania dużych naczyń w tzw. Autostarcie oraz z wyłącznik nożnego i rękojeści jeśli posiadają do tego celu odpowiednie przyciski.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używania jednocześnie 2 instrumentów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monopolarnych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TAK/NIE</w:t>
            </w:r>
          </w:p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– 5 pkt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N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IE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Moc cięcia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monopolarnego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min 400W z możliwością nastawienia min 10 efektów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Moc koagulacji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monopolarnej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min 240 W z możliwością nastawienia min 10 efektów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Cięcie bipolarne z mocą min 400W z możliwością nastawienia min 10 efektów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Moc koagulacji bipolarnej min 200 W z możliwością nastawienia min 10 efektów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Program zamykania dużych naczyń z mocą min 350W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Możliwość współpracy z resektoskopami bipolarnymi, aparat musi posiadać dedykowane prądy do cięcia i koagulacji z automatycznym rozpoznawaniem resektoskopu i nastawianiem dla niego optymalnych parametrów pracy.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Minimum 5 rodzajów cięcia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monopolarnego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, min 5 rodzajów koagulacji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monopolarnej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, min 2 rodzaje cięcia bipolarnego i min 2 rodzajów koagulacji bipolarnej, każdy z tych prądów powinien posiadać możliwość nastawienia min 10 elektów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Możliwość wymiany gniazd przyłączeniowych na gniazda o innych standardach wtyków przez użytkownika na sali operacyjnej bez konieczności działań serwisowych.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TAK/NIE</w:t>
            </w:r>
          </w:p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– 5 pkt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N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IE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Minimum 3 gniazda umożliwiające podłączanie instrumentów mono i bipolarnych oraz 1 gniazdo elektrody neutralnej.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Przystawka argonowa obsługiwana z  ekranu </w:t>
            </w:r>
            <w:r w:rsidR="0063206B"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diatermii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Endoskopowa pompa płucząca do przepłukiwania pola zabiegowego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współpracy z odsysaczem dymów operacyjnych obsługiwanym z </w:t>
            </w:r>
            <w:r w:rsidR="0063206B"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ekranu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</w:t>
            </w:r>
            <w:r w:rsidR="0063206B"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diatermii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Wyłącznik nożny dwuprzyciskowy z funkcją przełączania programów – 1 szt.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365B3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06B" w:rsidRPr="0063206B" w:rsidRDefault="0063206B" w:rsidP="0063206B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63206B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lastRenderedPageBreak/>
              <w:t>Wyposażenie</w:t>
            </w: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Kabel do elektrod biernych jednorazowych – 1 szt.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Elektrody neutralne , jednorazowe, dzielone z pierścieniem ekwipotencjalnym, powierzchnia kontaktowa 80 – 85 cm2 , - 50 szt.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Sonda do koagulacji argonowej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dł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220 – 230 cm, średnica 2,3 mm, z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firtrem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gazu. Z wypływem czołowym – 20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Kabel do </w:t>
            </w:r>
            <w:r w:rsidR="0063206B"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podłączania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instrumentów endoskopowych z wtykiem 3 mm – 1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ED273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06B" w:rsidRPr="0063206B" w:rsidRDefault="0063206B" w:rsidP="0063206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63206B" w:rsidRPr="0063206B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256982" w:rsidRPr="0063206B" w:rsidRDefault="00256982" w:rsidP="0025698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Okres gwarancji na dostarczony sprzęt min. 24 miesiące</w:t>
            </w:r>
          </w:p>
        </w:tc>
        <w:tc>
          <w:tcPr>
            <w:tcW w:w="2128" w:type="dxa"/>
            <w:vAlign w:val="center"/>
          </w:tcPr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24 miesiące – 0 pkt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36 miesięcy – 10 pkt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 xml:space="preserve">48 miesięcy – 20 pkt 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256982" w:rsidRPr="0063206B" w:rsidRDefault="00256982" w:rsidP="0025698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Instrukcja obsługi w języku polskim  (z dostawą)</w:t>
            </w:r>
          </w:p>
        </w:tc>
        <w:tc>
          <w:tcPr>
            <w:tcW w:w="2128" w:type="dxa"/>
            <w:vAlign w:val="center"/>
          </w:tcPr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256982" w:rsidRPr="0063206B" w:rsidRDefault="00256982" w:rsidP="0025698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:rsidR="00925A70" w:rsidRPr="0063206B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p w:rsidR="00940BB1" w:rsidRPr="0063206B" w:rsidRDefault="00940BB1" w:rsidP="00925A70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sectPr w:rsidR="00940BB1" w:rsidRPr="00632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ECD" w:rsidRDefault="00575ECD" w:rsidP="000D4E7D">
      <w:r>
        <w:separator/>
      </w:r>
    </w:p>
  </w:endnote>
  <w:endnote w:type="continuationSeparator" w:id="0">
    <w:p w:rsidR="00575ECD" w:rsidRDefault="00575ECD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ECD" w:rsidRDefault="00575ECD" w:rsidP="000D4E7D">
      <w:r>
        <w:separator/>
      </w:r>
    </w:p>
  </w:footnote>
  <w:footnote w:type="continuationSeparator" w:id="0">
    <w:p w:rsidR="00575ECD" w:rsidRDefault="00575ECD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2114"/>
    <w:rsid w:val="000D0B97"/>
    <w:rsid w:val="000D4E7D"/>
    <w:rsid w:val="0013102C"/>
    <w:rsid w:val="00140693"/>
    <w:rsid w:val="00182BA1"/>
    <w:rsid w:val="00256982"/>
    <w:rsid w:val="002C7A9C"/>
    <w:rsid w:val="002D0F79"/>
    <w:rsid w:val="004369F3"/>
    <w:rsid w:val="004E4D27"/>
    <w:rsid w:val="00575ECD"/>
    <w:rsid w:val="0063206B"/>
    <w:rsid w:val="00637C20"/>
    <w:rsid w:val="0067122A"/>
    <w:rsid w:val="006714E1"/>
    <w:rsid w:val="00770E64"/>
    <w:rsid w:val="007B1009"/>
    <w:rsid w:val="007D77F2"/>
    <w:rsid w:val="007E418E"/>
    <w:rsid w:val="007E714D"/>
    <w:rsid w:val="00823C89"/>
    <w:rsid w:val="008455E7"/>
    <w:rsid w:val="008731F4"/>
    <w:rsid w:val="00912BEC"/>
    <w:rsid w:val="00925A70"/>
    <w:rsid w:val="00940BB1"/>
    <w:rsid w:val="00A65601"/>
    <w:rsid w:val="00AA5D53"/>
    <w:rsid w:val="00AB21B1"/>
    <w:rsid w:val="00AD0A3F"/>
    <w:rsid w:val="00C45B92"/>
    <w:rsid w:val="00C50CF1"/>
    <w:rsid w:val="00C62B3D"/>
    <w:rsid w:val="00CF74AA"/>
    <w:rsid w:val="00D129F8"/>
    <w:rsid w:val="00E145AA"/>
    <w:rsid w:val="00EE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B66E8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807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cp:lastPrinted>2026-07-03T09:38:00Z</cp:lastPrinted>
  <dcterms:created xsi:type="dcterms:W3CDTF">2026-06-18T10:36:00Z</dcterms:created>
  <dcterms:modified xsi:type="dcterms:W3CDTF">2026-08-26T09:02:00Z</dcterms:modified>
</cp:coreProperties>
</file>