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5A70" w:rsidRPr="00E7301D" w:rsidRDefault="00925A70" w:rsidP="00925A70">
      <w:pPr>
        <w:shd w:val="clear" w:color="auto" w:fill="FFFFFF"/>
        <w:suppressAutoHyphens/>
        <w:ind w:left="6372" w:firstLine="708"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E7301D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Załącznik nr 1 do SWZ</w:t>
      </w:r>
    </w:p>
    <w:p w:rsidR="00925A70" w:rsidRPr="00E7301D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</w:p>
    <w:p w:rsidR="00925A70" w:rsidRPr="00E7301D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E7301D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Wykonawca:</w:t>
      </w:r>
    </w:p>
    <w:p w:rsidR="00925A70" w:rsidRPr="00E7301D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E7301D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………………………..…………</w:t>
      </w:r>
    </w:p>
    <w:p w:rsidR="00925A70" w:rsidRPr="00E7301D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E7301D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…………………………..………</w:t>
      </w:r>
    </w:p>
    <w:p w:rsidR="00925A70" w:rsidRPr="00E7301D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E7301D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………………………..…………</w:t>
      </w:r>
    </w:p>
    <w:p w:rsidR="00925A70" w:rsidRPr="00E7301D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i/>
          <w:sz w:val="22"/>
          <w:szCs w:val="22"/>
          <w:lang w:eastAsia="ar-SA"/>
        </w:rPr>
      </w:pPr>
      <w:r w:rsidRPr="00E7301D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(</w:t>
      </w:r>
      <w:r w:rsidRPr="00E7301D">
        <w:rPr>
          <w:rFonts w:asciiTheme="majorHAnsi" w:eastAsia="Calibri" w:hAnsiTheme="majorHAnsi" w:cstheme="majorHAnsi"/>
          <w:b/>
          <w:bCs/>
          <w:i/>
          <w:sz w:val="22"/>
          <w:szCs w:val="22"/>
          <w:lang w:eastAsia="ar-SA"/>
        </w:rPr>
        <w:t>pełna nazwa/firma, adres)</w:t>
      </w:r>
    </w:p>
    <w:p w:rsidR="00925A70" w:rsidRPr="00E7301D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i/>
          <w:sz w:val="22"/>
          <w:szCs w:val="22"/>
          <w:lang w:eastAsia="ar-SA"/>
        </w:rPr>
      </w:pPr>
      <w:r w:rsidRPr="00E7301D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NIP</w:t>
      </w:r>
      <w:r w:rsidRPr="00E7301D">
        <w:rPr>
          <w:rFonts w:asciiTheme="majorHAnsi" w:eastAsia="Calibri" w:hAnsiTheme="majorHAnsi" w:cstheme="majorHAnsi"/>
          <w:b/>
          <w:bCs/>
          <w:i/>
          <w:sz w:val="22"/>
          <w:szCs w:val="22"/>
          <w:lang w:eastAsia="ar-SA"/>
        </w:rPr>
        <w:t xml:space="preserve"> ………………………….….</w:t>
      </w:r>
    </w:p>
    <w:p w:rsidR="00925A70" w:rsidRPr="00E7301D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i/>
          <w:sz w:val="22"/>
          <w:szCs w:val="22"/>
          <w:lang w:eastAsia="ar-SA"/>
        </w:rPr>
      </w:pPr>
      <w:r w:rsidRPr="00E7301D">
        <w:rPr>
          <w:rFonts w:asciiTheme="majorHAnsi" w:eastAsia="Calibri" w:hAnsiTheme="majorHAnsi" w:cstheme="majorHAnsi"/>
          <w:b/>
          <w:bCs/>
          <w:i/>
          <w:sz w:val="22"/>
          <w:szCs w:val="22"/>
          <w:lang w:eastAsia="ar-SA"/>
        </w:rPr>
        <w:t>KRS ……………………..………</w:t>
      </w:r>
    </w:p>
    <w:p w:rsidR="00D90E15" w:rsidRPr="00E7301D" w:rsidRDefault="00925A70" w:rsidP="000D4E7D">
      <w:pPr>
        <w:shd w:val="clear" w:color="auto" w:fill="FFFFFF"/>
        <w:suppressAutoHyphens/>
        <w:spacing w:before="280" w:after="280" w:line="276" w:lineRule="auto"/>
        <w:jc w:val="center"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E7301D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 xml:space="preserve">OFERTA – Część nr </w:t>
      </w:r>
      <w:r w:rsidR="004333DD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9</w:t>
      </w:r>
    </w:p>
    <w:p w:rsidR="00925A70" w:rsidRPr="00E7301D" w:rsidRDefault="00D90E15" w:rsidP="000D4E7D">
      <w:pPr>
        <w:shd w:val="clear" w:color="auto" w:fill="FFFFFF"/>
        <w:suppressAutoHyphens/>
        <w:spacing w:before="280" w:after="280" w:line="276" w:lineRule="auto"/>
        <w:jc w:val="center"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E7301D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 xml:space="preserve"> </w:t>
      </w:r>
      <w:r w:rsidR="00925A70" w:rsidRPr="00E7301D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(wraz z opisem przedmiotu zamówienia)</w:t>
      </w:r>
    </w:p>
    <w:p w:rsidR="00925A70" w:rsidRPr="00CC590F" w:rsidRDefault="00925A70" w:rsidP="00CC590F">
      <w:pPr>
        <w:pStyle w:val="Tytu"/>
        <w:spacing w:after="60" w:line="276" w:lineRule="auto"/>
        <w:jc w:val="both"/>
        <w:rPr>
          <w:rFonts w:asciiTheme="majorHAnsi" w:eastAsia="Times New Roman" w:hAnsiTheme="majorHAnsi" w:cstheme="majorHAnsi"/>
          <w:b w:val="0"/>
          <w:bCs w:val="0"/>
          <w:sz w:val="22"/>
          <w:szCs w:val="22"/>
          <w:lang w:eastAsia="pl-PL"/>
        </w:rPr>
      </w:pPr>
      <w:r w:rsidRPr="00E7301D">
        <w:rPr>
          <w:rFonts w:asciiTheme="majorHAnsi" w:eastAsia="Calibri" w:hAnsiTheme="majorHAnsi" w:cstheme="majorHAnsi"/>
          <w:b w:val="0"/>
          <w:bCs w:val="0"/>
          <w:sz w:val="22"/>
          <w:szCs w:val="22"/>
          <w:lang w:eastAsia="ar-SA"/>
        </w:rPr>
        <w:t xml:space="preserve">W odpowiedzi na ogłoszenie dotyczące udzielenia zamówienia publicznego na </w:t>
      </w:r>
      <w:r w:rsidR="00352633" w:rsidRPr="00E7301D">
        <w:rPr>
          <w:rFonts w:asciiTheme="majorHAnsi" w:eastAsia="Calibri" w:hAnsiTheme="majorHAnsi" w:cstheme="majorHAnsi"/>
          <w:b w:val="0"/>
          <w:bCs w:val="0"/>
          <w:sz w:val="22"/>
          <w:szCs w:val="22"/>
          <w:lang w:val="pl-PL" w:eastAsia="ar-SA"/>
        </w:rPr>
        <w:t>zakup</w:t>
      </w:r>
      <w:r w:rsidRPr="00E7301D">
        <w:rPr>
          <w:rFonts w:asciiTheme="majorHAnsi" w:eastAsia="Calibri" w:hAnsiTheme="majorHAnsi" w:cstheme="majorHAnsi"/>
          <w:b w:val="0"/>
          <w:bCs w:val="0"/>
          <w:sz w:val="22"/>
          <w:szCs w:val="22"/>
          <w:lang w:val="pl-PL" w:eastAsia="ar-SA"/>
        </w:rPr>
        <w:t xml:space="preserve"> sprzętu medycznego, </w:t>
      </w:r>
      <w:r w:rsidRPr="00E7301D">
        <w:rPr>
          <w:rFonts w:asciiTheme="majorHAnsi" w:eastAsia="Calibri" w:hAnsiTheme="majorHAnsi" w:cstheme="majorHAnsi"/>
          <w:b w:val="0"/>
          <w:iCs/>
          <w:sz w:val="22"/>
          <w:szCs w:val="22"/>
          <w:lang w:val="pl-PL" w:eastAsia="ar-SA"/>
        </w:rPr>
        <w:t xml:space="preserve">w </w:t>
      </w:r>
      <w:r w:rsidRPr="00E7301D">
        <w:rPr>
          <w:rFonts w:asciiTheme="majorHAnsi" w:eastAsia="Calibri" w:hAnsiTheme="majorHAnsi" w:cstheme="majorHAnsi"/>
          <w:b w:val="0"/>
          <w:sz w:val="22"/>
          <w:szCs w:val="22"/>
          <w:lang w:eastAsia="ar-SA"/>
        </w:rPr>
        <w:t xml:space="preserve"> ramach zadania inwestycyjnego pod nazwą:</w:t>
      </w:r>
      <w:r w:rsidR="00D03B3A" w:rsidRPr="00E7301D">
        <w:rPr>
          <w:rFonts w:asciiTheme="majorHAnsi" w:eastAsia="Calibri" w:hAnsiTheme="majorHAnsi" w:cstheme="majorHAnsi"/>
          <w:b w:val="0"/>
          <w:sz w:val="22"/>
          <w:szCs w:val="22"/>
          <w:lang w:val="pl-PL" w:eastAsia="ar-SA"/>
        </w:rPr>
        <w:t xml:space="preserve"> </w:t>
      </w:r>
      <w:r w:rsidRPr="00E7301D">
        <w:rPr>
          <w:rFonts w:asciiTheme="majorHAnsi" w:hAnsiTheme="majorHAnsi" w:cstheme="majorHAnsi"/>
          <w:sz w:val="22"/>
          <w:szCs w:val="22"/>
        </w:rPr>
        <w:t>„</w:t>
      </w:r>
      <w:r w:rsidR="00167E75">
        <w:rPr>
          <w:rFonts w:asciiTheme="majorHAnsi" w:eastAsia="Calibri" w:hAnsiTheme="majorHAnsi" w:cstheme="majorHAnsi"/>
          <w:sz w:val="22"/>
          <w:szCs w:val="22"/>
          <w:lang w:eastAsia="ar-SA"/>
        </w:rPr>
        <w:t>Poprawa dostępności oraz jakości lecznictwa onkologicznego w woj. podkarpackim przez rozbudowę, modernizację i doposażenie Szpitala Specjalistycznego w Brzozowie Podkarpackiego Ośrodka Onkologicznego – zadanie nr. 3 pn. „Doposażenie komórek organizacyjnych Podkarpackiego Ośrodka Onkologicznego”</w:t>
      </w:r>
      <w:r w:rsidR="00167E75">
        <w:rPr>
          <w:rFonts w:asciiTheme="majorHAnsi" w:eastAsia="Calibri" w:hAnsiTheme="majorHAnsi" w:cstheme="majorHAnsi"/>
          <w:sz w:val="22"/>
          <w:szCs w:val="22"/>
          <w:lang w:val="pl-PL" w:eastAsia="ar-SA"/>
        </w:rPr>
        <w:t xml:space="preserve"> </w:t>
      </w:r>
      <w:r w:rsidRPr="00E7301D">
        <w:rPr>
          <w:rFonts w:asciiTheme="majorHAnsi" w:hAnsiTheme="majorHAnsi" w:cstheme="majorHAnsi"/>
          <w:b w:val="0"/>
          <w:sz w:val="22"/>
          <w:szCs w:val="22"/>
          <w:lang w:val="pl-PL"/>
        </w:rPr>
        <w:t>składam następującą ofertę:</w:t>
      </w:r>
    </w:p>
    <w:tbl>
      <w:tblPr>
        <w:tblpPr w:leftFromText="141" w:rightFromText="141" w:vertAnchor="text" w:horzAnchor="margin" w:tblpXSpec="center" w:tblpY="1"/>
        <w:tblOverlap w:val="never"/>
        <w:tblW w:w="106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5"/>
        <w:gridCol w:w="2824"/>
        <w:gridCol w:w="567"/>
        <w:gridCol w:w="709"/>
        <w:gridCol w:w="1276"/>
        <w:gridCol w:w="1559"/>
        <w:gridCol w:w="992"/>
        <w:gridCol w:w="851"/>
        <w:gridCol w:w="1417"/>
      </w:tblGrid>
      <w:tr w:rsidR="00925A70" w:rsidRPr="00E7301D" w:rsidTr="00925A70">
        <w:trPr>
          <w:trHeight w:val="103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hideMark/>
          </w:tcPr>
          <w:p w:rsidR="00925A70" w:rsidRPr="00E7301D" w:rsidRDefault="00925A70">
            <w:pPr>
              <w:tabs>
                <w:tab w:val="left" w:pos="9072"/>
              </w:tabs>
              <w:spacing w:line="480" w:lineRule="auto"/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L.p.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vAlign w:val="center"/>
            <w:hideMark/>
          </w:tcPr>
          <w:p w:rsidR="00925A70" w:rsidRPr="00E7301D" w:rsidRDefault="00925A70">
            <w:pPr>
              <w:tabs>
                <w:tab w:val="left" w:pos="9072"/>
              </w:tabs>
              <w:spacing w:line="480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Opis przedmiotu zamówienia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vAlign w:val="center"/>
            <w:hideMark/>
          </w:tcPr>
          <w:p w:rsidR="00925A70" w:rsidRPr="00E7301D" w:rsidRDefault="00925A70">
            <w:pPr>
              <w:tabs>
                <w:tab w:val="left" w:pos="9072"/>
              </w:tabs>
              <w:spacing w:line="480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j.m.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vAlign w:val="center"/>
            <w:hideMark/>
          </w:tcPr>
          <w:p w:rsidR="00925A70" w:rsidRPr="00E7301D" w:rsidRDefault="00925A70">
            <w:pPr>
              <w:tabs>
                <w:tab w:val="left" w:pos="9072"/>
              </w:tabs>
              <w:spacing w:line="480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Ilość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vAlign w:val="center"/>
            <w:hideMark/>
          </w:tcPr>
          <w:p w:rsidR="00925A70" w:rsidRPr="00E7301D" w:rsidRDefault="00925A70">
            <w:pPr>
              <w:tabs>
                <w:tab w:val="left" w:pos="9072"/>
              </w:tabs>
              <w:spacing w:line="276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Cena jedn. netto PLN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auto"/>
          </w:tcPr>
          <w:p w:rsidR="00925A70" w:rsidRPr="00E7301D" w:rsidRDefault="00925A70">
            <w:pPr>
              <w:tabs>
                <w:tab w:val="left" w:pos="9072"/>
              </w:tabs>
              <w:jc w:val="center"/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</w:pPr>
          </w:p>
          <w:p w:rsidR="00925A70" w:rsidRPr="00E7301D" w:rsidRDefault="00925A70">
            <w:pPr>
              <w:tabs>
                <w:tab w:val="left" w:pos="9072"/>
              </w:tabs>
              <w:jc w:val="center"/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Cena jednostkowa brutto</w:t>
            </w:r>
          </w:p>
          <w:p w:rsidR="00925A70" w:rsidRPr="00E7301D" w:rsidRDefault="00925A70">
            <w:pPr>
              <w:tabs>
                <w:tab w:val="left" w:pos="9072"/>
              </w:tabs>
              <w:spacing w:line="480" w:lineRule="auto"/>
              <w:jc w:val="center"/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PLN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vAlign w:val="center"/>
            <w:hideMark/>
          </w:tcPr>
          <w:p w:rsidR="00925A70" w:rsidRPr="00E7301D" w:rsidRDefault="00925A70">
            <w:pPr>
              <w:tabs>
                <w:tab w:val="left" w:pos="9072"/>
              </w:tabs>
              <w:spacing w:line="276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Wartość netto PLN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vAlign w:val="center"/>
            <w:hideMark/>
          </w:tcPr>
          <w:p w:rsidR="00925A70" w:rsidRPr="00E7301D" w:rsidRDefault="00925A70">
            <w:pPr>
              <w:tabs>
                <w:tab w:val="left" w:pos="9072"/>
              </w:tabs>
              <w:spacing w:line="480" w:lineRule="auto"/>
              <w:jc w:val="center"/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VAT</w:t>
            </w:r>
          </w:p>
          <w:p w:rsidR="00925A70" w:rsidRPr="00E7301D" w:rsidRDefault="00925A70">
            <w:pPr>
              <w:tabs>
                <w:tab w:val="left" w:pos="9072"/>
              </w:tabs>
              <w:spacing w:line="480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 xml:space="preserve">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925A70" w:rsidRPr="00E7301D" w:rsidRDefault="00925A70">
            <w:pPr>
              <w:tabs>
                <w:tab w:val="left" w:pos="9072"/>
              </w:tabs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Wartość brutto</w:t>
            </w:r>
          </w:p>
          <w:p w:rsidR="00925A70" w:rsidRPr="00E7301D" w:rsidRDefault="00925A70">
            <w:pPr>
              <w:tabs>
                <w:tab w:val="left" w:pos="9072"/>
              </w:tabs>
              <w:spacing w:line="276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PLN</w:t>
            </w:r>
          </w:p>
        </w:tc>
      </w:tr>
      <w:tr w:rsidR="00925A70" w:rsidRPr="00E7301D" w:rsidTr="00925A70">
        <w:trPr>
          <w:trHeight w:val="1647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925A70" w:rsidRPr="00E7301D" w:rsidRDefault="00925A70">
            <w:pPr>
              <w:tabs>
                <w:tab w:val="left" w:pos="9072"/>
              </w:tabs>
              <w:spacing w:line="480" w:lineRule="auto"/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  <w:p w:rsidR="00925A70" w:rsidRPr="00E7301D" w:rsidRDefault="00925A70">
            <w:pPr>
              <w:tabs>
                <w:tab w:val="left" w:pos="9072"/>
              </w:tabs>
              <w:spacing w:line="480" w:lineRule="auto"/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1.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666" w:rsidRPr="00E7301D" w:rsidRDefault="00302666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Kardiomonitor </w:t>
            </w:r>
          </w:p>
          <w:p w:rsidR="00925A70" w:rsidRPr="00E7301D" w:rsidRDefault="00925A70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bCs/>
                <w:sz w:val="22"/>
                <w:szCs w:val="22"/>
              </w:rPr>
              <w:t>Nazwa:…………………………….……</w:t>
            </w:r>
          </w:p>
          <w:p w:rsidR="00925A70" w:rsidRPr="00E7301D" w:rsidRDefault="00925A70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bCs/>
                <w:sz w:val="22"/>
                <w:szCs w:val="22"/>
              </w:rPr>
              <w:t>Typ: ……………………………………..</w:t>
            </w:r>
          </w:p>
          <w:p w:rsidR="00925A70" w:rsidRPr="00E7301D" w:rsidRDefault="00925A70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bCs/>
                <w:sz w:val="22"/>
                <w:szCs w:val="22"/>
              </w:rPr>
              <w:t>Model: …………………………………</w:t>
            </w:r>
          </w:p>
          <w:p w:rsidR="00925A70" w:rsidRPr="00E7301D" w:rsidRDefault="00925A70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bCs/>
                <w:sz w:val="22"/>
                <w:szCs w:val="22"/>
              </w:rPr>
              <w:t>Producent: ……………………………</w:t>
            </w:r>
          </w:p>
          <w:p w:rsidR="00925A70" w:rsidRDefault="00925A70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bCs/>
                <w:sz w:val="22"/>
                <w:szCs w:val="22"/>
              </w:rPr>
              <w:t>Kraj</w:t>
            </w:r>
            <w:r w:rsidR="004333DD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producenta……………………..</w:t>
            </w:r>
          </w:p>
          <w:p w:rsidR="00EA55D4" w:rsidRPr="00EA55D4" w:rsidRDefault="00EA55D4" w:rsidP="00EA55D4">
            <w:pPr>
              <w:tabs>
                <w:tab w:val="left" w:pos="9072"/>
              </w:tabs>
              <w:jc w:val="both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inorHAnsi"/>
                <w:bCs/>
                <w:sz w:val="22"/>
                <w:szCs w:val="22"/>
              </w:rPr>
              <w:t xml:space="preserve">Kraj pochodzenia produktu ……………………………., </w:t>
            </w:r>
            <w:r>
              <w:rPr>
                <w:rFonts w:asciiTheme="majorHAnsi" w:hAnsiTheme="majorHAnsi" w:cstheme="minorHAnsi"/>
                <w:bCs/>
                <w:sz w:val="20"/>
                <w:szCs w:val="20"/>
              </w:rPr>
              <w:t xml:space="preserve">ustalony </w:t>
            </w:r>
            <w:proofErr w:type="spellStart"/>
            <w:r>
              <w:rPr>
                <w:rFonts w:asciiTheme="majorHAnsi" w:hAnsiTheme="majorHAnsi" w:cstheme="minorHAnsi"/>
                <w:bCs/>
                <w:sz w:val="20"/>
                <w:szCs w:val="20"/>
              </w:rPr>
              <w:t>zg</w:t>
            </w:r>
            <w:proofErr w:type="spellEnd"/>
            <w:r>
              <w:rPr>
                <w:rFonts w:asciiTheme="majorHAnsi" w:hAnsiTheme="majorHAnsi" w:cstheme="minorHAnsi"/>
                <w:bCs/>
                <w:sz w:val="20"/>
                <w:szCs w:val="20"/>
              </w:rPr>
              <w:t>. z art. 60 rozporządzenia  Parlamentu Europejskiego i Rady( UE)nr 952/2013 ustanawiającego  unijny kodeks celny.</w:t>
            </w:r>
            <w:bookmarkStart w:id="0" w:name="_GoBack"/>
            <w:bookmarkEnd w:id="0"/>
          </w:p>
          <w:p w:rsidR="00925A70" w:rsidRPr="00E7301D" w:rsidRDefault="00925A70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7301D">
              <w:rPr>
                <w:rFonts w:asciiTheme="majorHAnsi" w:eastAsia="Calibri" w:hAnsiTheme="majorHAnsi" w:cstheme="majorHAnsi"/>
                <w:sz w:val="22"/>
                <w:szCs w:val="22"/>
              </w:rPr>
              <w:t>Urządzenie fabrycznie nowe. Rok produkcji (nie starszy niż 202</w:t>
            </w:r>
            <w:r w:rsidR="004369F3" w:rsidRPr="00E7301D">
              <w:rPr>
                <w:rFonts w:asciiTheme="majorHAnsi" w:eastAsia="Calibri" w:hAnsiTheme="majorHAnsi" w:cstheme="majorHAnsi"/>
                <w:sz w:val="22"/>
                <w:szCs w:val="22"/>
              </w:rPr>
              <w:t>6</w:t>
            </w:r>
            <w:r w:rsidRPr="00E7301D">
              <w:rPr>
                <w:rFonts w:asciiTheme="majorHAnsi" w:eastAsia="Calibri" w:hAnsiTheme="majorHAnsi" w:cstheme="majorHAnsi"/>
                <w:sz w:val="22"/>
                <w:szCs w:val="22"/>
              </w:rPr>
              <w:t>) …………………………………</w:t>
            </w:r>
            <w:r w:rsidR="004F5166" w:rsidRPr="00E7301D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E7301D">
              <w:rPr>
                <w:rFonts w:asciiTheme="majorHAnsi" w:eastAsia="Calibri" w:hAnsiTheme="majorHAnsi" w:cstheme="majorHAnsi"/>
                <w:sz w:val="22"/>
                <w:szCs w:val="22"/>
              </w:rPr>
              <w:t>…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A70" w:rsidRPr="00E7301D" w:rsidRDefault="00925A70">
            <w:pPr>
              <w:tabs>
                <w:tab w:val="left" w:pos="9072"/>
              </w:tabs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 szt.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A70" w:rsidRPr="00E7301D" w:rsidRDefault="00167E75">
            <w:pPr>
              <w:tabs>
                <w:tab w:val="left" w:pos="9072"/>
              </w:tabs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A70" w:rsidRPr="00E7301D" w:rsidRDefault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A70" w:rsidRPr="00E7301D" w:rsidRDefault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A70" w:rsidRPr="00E7301D" w:rsidRDefault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925A70" w:rsidRPr="00E7301D" w:rsidRDefault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5A70" w:rsidRPr="00E7301D" w:rsidRDefault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</w:tr>
      <w:tr w:rsidR="00F240CB" w:rsidRPr="00E7301D" w:rsidTr="00925A70">
        <w:trPr>
          <w:trHeight w:val="70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240CB" w:rsidRPr="00E7301D" w:rsidRDefault="00F240CB" w:rsidP="00F240CB">
            <w:pPr>
              <w:tabs>
                <w:tab w:val="left" w:pos="9072"/>
              </w:tabs>
              <w:spacing w:line="480" w:lineRule="auto"/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6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0CB" w:rsidRPr="00E7301D" w:rsidRDefault="00F240CB" w:rsidP="00F240CB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Razem: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0CB" w:rsidRPr="00E7301D" w:rsidRDefault="00F240CB" w:rsidP="00F240CB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240CB" w:rsidRPr="00E7301D" w:rsidRDefault="00F240CB" w:rsidP="00F240CB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 xml:space="preserve">        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240CB" w:rsidRPr="00E7301D" w:rsidRDefault="00F240CB" w:rsidP="00F240CB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</w:tr>
    </w:tbl>
    <w:p w:rsidR="00925A70" w:rsidRPr="00E7301D" w:rsidRDefault="00925A70" w:rsidP="00925A70">
      <w:pPr>
        <w:spacing w:after="60" w:line="276" w:lineRule="auto"/>
        <w:jc w:val="both"/>
        <w:rPr>
          <w:rFonts w:asciiTheme="majorHAnsi" w:eastAsia="Batang" w:hAnsiTheme="majorHAnsi" w:cstheme="majorHAnsi"/>
          <w:b/>
          <w:bCs/>
          <w:sz w:val="22"/>
          <w:szCs w:val="22"/>
          <w:lang w:eastAsia="x-none"/>
        </w:rPr>
      </w:pPr>
    </w:p>
    <w:p w:rsidR="00925A70" w:rsidRPr="00E7301D" w:rsidRDefault="00925A70" w:rsidP="00925A70">
      <w:pPr>
        <w:spacing w:after="60" w:line="276" w:lineRule="auto"/>
        <w:ind w:left="-709"/>
        <w:jc w:val="both"/>
        <w:rPr>
          <w:rFonts w:asciiTheme="majorHAnsi" w:eastAsia="Batang" w:hAnsiTheme="majorHAnsi" w:cstheme="majorHAnsi"/>
          <w:b/>
          <w:bCs/>
          <w:sz w:val="22"/>
          <w:szCs w:val="22"/>
          <w:lang w:eastAsia="x-none"/>
        </w:rPr>
      </w:pPr>
      <w:r w:rsidRPr="00E7301D">
        <w:rPr>
          <w:rFonts w:asciiTheme="majorHAnsi" w:eastAsia="Batang" w:hAnsiTheme="majorHAnsi" w:cstheme="majorHAnsi"/>
          <w:b/>
          <w:bCs/>
          <w:sz w:val="22"/>
          <w:szCs w:val="22"/>
          <w:lang w:eastAsia="x-none"/>
        </w:rPr>
        <w:t>UWAGA!</w:t>
      </w:r>
    </w:p>
    <w:p w:rsidR="00925A70" w:rsidRPr="00E7301D" w:rsidRDefault="00925A70" w:rsidP="00925A70">
      <w:pPr>
        <w:spacing w:after="60" w:line="276" w:lineRule="auto"/>
        <w:ind w:left="-709"/>
        <w:jc w:val="both"/>
        <w:rPr>
          <w:rFonts w:asciiTheme="majorHAnsi" w:eastAsia="Batang" w:hAnsiTheme="majorHAnsi" w:cstheme="majorHAnsi"/>
          <w:bCs/>
          <w:sz w:val="22"/>
          <w:szCs w:val="22"/>
          <w:lang w:eastAsia="x-none"/>
        </w:rPr>
      </w:pPr>
      <w:r w:rsidRPr="00E7301D">
        <w:rPr>
          <w:rFonts w:asciiTheme="majorHAnsi" w:eastAsia="Batang" w:hAnsiTheme="majorHAnsi" w:cstheme="majorHAnsi"/>
          <w:bCs/>
          <w:sz w:val="22"/>
          <w:szCs w:val="22"/>
          <w:lang w:eastAsia="x-none"/>
        </w:rPr>
        <w:t>Jeżeli na przedmiot zamówienia składają się elementy o różnej stawce podatku VAT należy w tabeli powyżej wyszczególnić je odrębnie.</w:t>
      </w:r>
    </w:p>
    <w:p w:rsidR="00925A70" w:rsidRPr="00E7301D" w:rsidRDefault="00925A70" w:rsidP="00925A70">
      <w:pPr>
        <w:ind w:left="-709"/>
        <w:rPr>
          <w:rFonts w:asciiTheme="majorHAnsi" w:hAnsiTheme="majorHAnsi" w:cstheme="majorHAnsi"/>
          <w:sz w:val="22"/>
          <w:szCs w:val="22"/>
        </w:rPr>
      </w:pPr>
    </w:p>
    <w:p w:rsidR="004333DD" w:rsidRPr="00F32488" w:rsidRDefault="00925A70" w:rsidP="004333DD">
      <w:pPr>
        <w:ind w:left="-709"/>
        <w:rPr>
          <w:rFonts w:asciiTheme="majorHAnsi" w:hAnsiTheme="majorHAnsi" w:cstheme="majorHAnsi"/>
          <w:sz w:val="22"/>
          <w:szCs w:val="22"/>
        </w:rPr>
      </w:pPr>
      <w:r w:rsidRPr="00E7301D">
        <w:rPr>
          <w:rFonts w:asciiTheme="majorHAnsi" w:hAnsiTheme="majorHAnsi" w:cstheme="majorHAnsi"/>
          <w:b/>
          <w:sz w:val="22"/>
          <w:szCs w:val="22"/>
        </w:rPr>
        <w:lastRenderedPageBreak/>
        <w:t>Termin dostawy:</w:t>
      </w:r>
      <w:r w:rsidRPr="00E7301D">
        <w:rPr>
          <w:rFonts w:asciiTheme="majorHAnsi" w:hAnsiTheme="majorHAnsi" w:cstheme="majorHAnsi"/>
          <w:sz w:val="22"/>
          <w:szCs w:val="22"/>
        </w:rPr>
        <w:t xml:space="preserve"> </w:t>
      </w:r>
      <w:r w:rsidR="004333DD">
        <w:rPr>
          <w:rFonts w:asciiTheme="minorHAnsi" w:hAnsiTheme="minorHAnsi" w:cstheme="minorHAnsi"/>
          <w:color w:val="000000" w:themeColor="text1"/>
          <w:sz w:val="22"/>
          <w:szCs w:val="22"/>
        </w:rPr>
        <w:t>do 8 tygodni od podpisania umowy.</w:t>
      </w:r>
    </w:p>
    <w:p w:rsidR="00925A70" w:rsidRPr="00E7301D" w:rsidRDefault="00925A70" w:rsidP="00925A70">
      <w:pPr>
        <w:ind w:left="-709"/>
        <w:rPr>
          <w:rFonts w:asciiTheme="majorHAnsi" w:hAnsiTheme="majorHAnsi" w:cstheme="majorHAnsi"/>
          <w:sz w:val="22"/>
          <w:szCs w:val="22"/>
        </w:rPr>
      </w:pPr>
    </w:p>
    <w:p w:rsidR="00925A70" w:rsidRPr="00E7301D" w:rsidRDefault="00925A70" w:rsidP="00925A70">
      <w:pPr>
        <w:ind w:left="-709"/>
        <w:rPr>
          <w:rFonts w:asciiTheme="majorHAnsi" w:hAnsiTheme="majorHAnsi" w:cstheme="majorHAnsi"/>
          <w:sz w:val="22"/>
          <w:szCs w:val="22"/>
        </w:rPr>
      </w:pPr>
    </w:p>
    <w:p w:rsidR="00925A70" w:rsidRPr="00E7301D" w:rsidRDefault="00925A70" w:rsidP="00925A70">
      <w:pPr>
        <w:ind w:left="-709"/>
        <w:rPr>
          <w:rFonts w:asciiTheme="majorHAnsi" w:hAnsiTheme="majorHAnsi" w:cstheme="majorHAnsi"/>
          <w:sz w:val="22"/>
          <w:szCs w:val="22"/>
        </w:rPr>
      </w:pPr>
      <w:r w:rsidRPr="00E7301D">
        <w:rPr>
          <w:rFonts w:asciiTheme="majorHAnsi" w:hAnsiTheme="majorHAnsi" w:cstheme="majorHAnsi"/>
          <w:b/>
          <w:sz w:val="22"/>
          <w:szCs w:val="22"/>
        </w:rPr>
        <w:t>Osoba do kontaktu</w:t>
      </w:r>
      <w:r w:rsidRPr="00E7301D">
        <w:rPr>
          <w:rFonts w:asciiTheme="majorHAnsi" w:hAnsiTheme="majorHAnsi" w:cstheme="majorHAnsi"/>
          <w:sz w:val="22"/>
          <w:szCs w:val="22"/>
        </w:rPr>
        <w:t>: …………………………………</w:t>
      </w:r>
    </w:p>
    <w:p w:rsidR="00925A70" w:rsidRPr="00E7301D" w:rsidRDefault="00925A70" w:rsidP="00925A70">
      <w:pPr>
        <w:ind w:left="-709"/>
        <w:rPr>
          <w:rFonts w:asciiTheme="majorHAnsi" w:hAnsiTheme="majorHAnsi" w:cstheme="majorHAnsi"/>
          <w:sz w:val="22"/>
          <w:szCs w:val="22"/>
        </w:rPr>
      </w:pPr>
    </w:p>
    <w:p w:rsidR="00CC590F" w:rsidRDefault="00925A70" w:rsidP="00CC590F">
      <w:pPr>
        <w:ind w:left="-709"/>
        <w:rPr>
          <w:rFonts w:asciiTheme="majorHAnsi" w:hAnsiTheme="majorHAnsi" w:cstheme="majorHAnsi"/>
          <w:sz w:val="22"/>
          <w:szCs w:val="22"/>
        </w:rPr>
      </w:pPr>
      <w:r w:rsidRPr="00E7301D">
        <w:rPr>
          <w:rFonts w:asciiTheme="majorHAnsi" w:hAnsiTheme="majorHAnsi" w:cstheme="majorHAnsi"/>
          <w:b/>
          <w:sz w:val="22"/>
          <w:szCs w:val="22"/>
        </w:rPr>
        <w:t>Adres e-mail:</w:t>
      </w:r>
      <w:r w:rsidRPr="00E7301D">
        <w:rPr>
          <w:rFonts w:asciiTheme="majorHAnsi" w:hAnsiTheme="majorHAnsi" w:cstheme="majorHAnsi"/>
          <w:sz w:val="22"/>
          <w:szCs w:val="22"/>
        </w:rPr>
        <w:t xml:space="preserve"> ……………………………………..</w:t>
      </w:r>
    </w:p>
    <w:p w:rsidR="00925A70" w:rsidRPr="00E7301D" w:rsidRDefault="00925A70" w:rsidP="00CC590F">
      <w:pPr>
        <w:ind w:left="-709"/>
        <w:jc w:val="center"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E7301D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PARAMETRY TECHNICZNE WYMAGANE  I OFEROWANE</w:t>
      </w:r>
    </w:p>
    <w:p w:rsidR="00925A70" w:rsidRPr="00E7301D" w:rsidRDefault="00925A70" w:rsidP="00925A70">
      <w:pPr>
        <w:shd w:val="clear" w:color="auto" w:fill="FFFFFF"/>
        <w:jc w:val="center"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</w:p>
    <w:p w:rsidR="00925A70" w:rsidRPr="00E7301D" w:rsidRDefault="00925A70" w:rsidP="00925A70">
      <w:pPr>
        <w:spacing w:after="120"/>
        <w:jc w:val="center"/>
        <w:rPr>
          <w:rFonts w:asciiTheme="majorHAnsi" w:eastAsia="Calibri" w:hAnsiTheme="majorHAnsi" w:cstheme="majorHAnsi"/>
          <w:b/>
          <w:sz w:val="22"/>
          <w:szCs w:val="22"/>
          <w:lang w:eastAsia="en-US"/>
        </w:rPr>
      </w:pPr>
      <w:r w:rsidRPr="00E7301D">
        <w:rPr>
          <w:rFonts w:asciiTheme="majorHAnsi" w:eastAsia="Calibri" w:hAnsiTheme="majorHAnsi" w:cstheme="majorHAnsi"/>
          <w:b/>
          <w:sz w:val="22"/>
          <w:szCs w:val="22"/>
        </w:rPr>
        <w:t xml:space="preserve">Część nr </w:t>
      </w:r>
      <w:r w:rsidR="004333DD">
        <w:rPr>
          <w:rFonts w:asciiTheme="majorHAnsi" w:eastAsia="Calibri" w:hAnsiTheme="majorHAnsi" w:cstheme="majorHAnsi"/>
          <w:b/>
          <w:sz w:val="22"/>
          <w:szCs w:val="22"/>
        </w:rPr>
        <w:t>9</w:t>
      </w:r>
    </w:p>
    <w:p w:rsidR="00925A70" w:rsidRPr="00CC590F" w:rsidRDefault="00925A70" w:rsidP="00CC590F">
      <w:pPr>
        <w:spacing w:after="120"/>
        <w:jc w:val="center"/>
        <w:rPr>
          <w:rFonts w:asciiTheme="majorHAnsi" w:eastAsia="Calibri" w:hAnsiTheme="majorHAnsi" w:cstheme="majorHAnsi"/>
          <w:sz w:val="22"/>
          <w:szCs w:val="22"/>
        </w:rPr>
      </w:pPr>
      <w:r w:rsidRPr="00E7301D">
        <w:rPr>
          <w:rFonts w:asciiTheme="majorHAnsi" w:eastAsia="Calibri" w:hAnsiTheme="majorHAnsi" w:cstheme="majorHAnsi"/>
          <w:sz w:val="22"/>
          <w:szCs w:val="22"/>
        </w:rPr>
        <w:t xml:space="preserve">Opis przedmiotu zamówienia – zestawienie parametrów wymaganych </w:t>
      </w:r>
    </w:p>
    <w:tbl>
      <w:tblPr>
        <w:tblStyle w:val="Tabela-Siatka"/>
        <w:tblW w:w="1035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1"/>
        <w:gridCol w:w="5244"/>
        <w:gridCol w:w="2128"/>
        <w:gridCol w:w="2267"/>
      </w:tblGrid>
      <w:tr w:rsidR="00925A70" w:rsidRPr="00E7301D" w:rsidTr="00DE28FF">
        <w:trPr>
          <w:cantSplit/>
          <w:trHeight w:val="201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25A70" w:rsidRPr="00E7301D" w:rsidRDefault="00925A70">
            <w:pPr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925A70" w:rsidRPr="00E7301D" w:rsidRDefault="00925A7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sz w:val="22"/>
                <w:szCs w:val="22"/>
              </w:rPr>
              <w:t>Parametr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925A70" w:rsidRPr="00E7301D" w:rsidRDefault="00925A70" w:rsidP="006F21A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sz w:val="22"/>
                <w:szCs w:val="22"/>
              </w:rPr>
              <w:t>Wartość wymagana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925A70" w:rsidRPr="00E7301D" w:rsidRDefault="00925A7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sz w:val="22"/>
                <w:szCs w:val="22"/>
              </w:rPr>
              <w:t xml:space="preserve">Wartość oferowana przez Wykonawcę </w:t>
            </w:r>
            <w:r w:rsidRPr="00E7301D">
              <w:rPr>
                <w:rFonts w:asciiTheme="majorHAnsi" w:hAnsiTheme="majorHAnsi" w:cstheme="majorHAnsi"/>
                <w:sz w:val="22"/>
                <w:szCs w:val="22"/>
              </w:rPr>
              <w:br/>
              <w:t>(podać oferowaną wartość w zależności od wartości wymaganej)</w:t>
            </w:r>
          </w:p>
        </w:tc>
      </w:tr>
      <w:tr w:rsidR="00AA0D63" w:rsidRPr="00E7301D" w:rsidTr="00DE28FF">
        <w:trPr>
          <w:cantSplit/>
          <w:trHeight w:val="536"/>
        </w:trPr>
        <w:tc>
          <w:tcPr>
            <w:tcW w:w="10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A0D63" w:rsidRPr="00E7301D" w:rsidRDefault="00302666" w:rsidP="006F21A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KARDIOMONITOR </w:t>
            </w:r>
            <w:r w:rsidR="00C84415" w:rsidRPr="00E7301D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– </w:t>
            </w:r>
            <w:r w:rsidR="00167E75">
              <w:rPr>
                <w:rFonts w:asciiTheme="majorHAnsi" w:hAnsiTheme="majorHAnsi" w:cstheme="majorHAnsi"/>
                <w:b/>
                <w:sz w:val="22"/>
                <w:szCs w:val="22"/>
              </w:rPr>
              <w:t>1</w:t>
            </w:r>
            <w:r w:rsidR="00C84415" w:rsidRPr="00E7301D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SZT. </w:t>
            </w:r>
          </w:p>
        </w:tc>
      </w:tr>
      <w:tr w:rsidR="005128B8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8B8" w:rsidRPr="00E7301D" w:rsidRDefault="005128B8" w:rsidP="005128B8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Możliwość integracji z dostępnym klinicznym systemem informatycznym (CIS) producenta oferowanego systemu monitorowania pacjenta, w polskiej wersji językowej, umożliwiającym prowadzenie elektronicznej dokumentacji medycznej i jej ciągłość w zakresie opieki około-intensywnej i około-operacyjnej, zapewniającym przynajmniej: automatyczną akwizycję parametrów życiowych z oferowanych monitorów, ale także: respiratorów, aparatów do znieczulania, pomp infuzyjnych i do terapii nerkozastępczej; dokumentację terapii płynowej i lekowej, obliczanie bilansu płynów, ocenę stanu pacjenta wg. znanych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skal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ocen (m.in.: APACHE II, GCS, TISS-28, SOFA), tworzenie zleceń lekarskich, dokumentację procesu opieki pielęgniarskiej, generowanie raportów (w tym karta znieczulenia).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28B8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8B8" w:rsidRPr="00E7301D" w:rsidRDefault="005128B8" w:rsidP="005128B8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System monitorowania pacjenta o budowie modułowej lub kompaktowo-modułowej, w technologii wymiennych modułów podłączanych podczas pracy przez użytkownika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28B8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8B8" w:rsidRPr="00E7301D" w:rsidRDefault="005128B8" w:rsidP="005128B8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128B8" w:rsidRPr="00E7301D" w:rsidRDefault="005128B8" w:rsidP="005128B8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Monitor zapewnia monitorowanie pacjenta stacjonarnie i w transporcie: pojedynczy monitor stacjonarno-transportowy lub monitor stacjonarny wyposażony w niewielkich rozmiarów moduł transportowy z ekranem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28B8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8B8" w:rsidRPr="00E7301D" w:rsidRDefault="005128B8" w:rsidP="005128B8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128B8" w:rsidRPr="00E7301D" w:rsidRDefault="005128B8" w:rsidP="005128B8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Monitor wyposażony we wbudowaną ramę na min. 1 moduł rozszerzeń z możliwością rozbudowy o dodatkową ramę do podłączenia min. 2 dodatkowych modułów pomiarowych.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TAK/NIE</w:t>
            </w:r>
          </w:p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Parametr oceniany:</w:t>
            </w:r>
          </w:p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 – 1 pkt,</w:t>
            </w:r>
          </w:p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NIE – 0 pkt.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28B8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8B8" w:rsidRPr="00E7301D" w:rsidRDefault="005128B8" w:rsidP="005128B8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Wszystkie elementy systemu monitorowania pacjenta chłodzone konwekcyjnie, pasywnie - bez użycia wentylatorów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28B8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8B8" w:rsidRPr="00E7301D" w:rsidRDefault="005128B8" w:rsidP="005128B8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System monitorowania pacjenta przeznaczony do monitorowania pacjentów we wszystkich kategoriach wiekowych: dorosłych, dzieci i noworodków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28B8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8B8" w:rsidRPr="00E7301D" w:rsidRDefault="005128B8" w:rsidP="005128B8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Komunikacja z użytkownikiem w języku polskim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28B8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8B8" w:rsidRPr="00E7301D" w:rsidRDefault="005128B8" w:rsidP="005128B8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Monitor wyposażony w tryb "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Standby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" - tymczasowe wstrzymanie monitorowania pacjenta oraz sygnalizowania alarmów, np. na czas toalety pacjenta lub badania diagnostycznego. Po wznowieniu monitorowania następuje kontynuacja monitorowania tego samego pacjenta bez utraty zapisanych danych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28B8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8B8" w:rsidRPr="00E7301D" w:rsidRDefault="005128B8" w:rsidP="005128B8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Monitor wyposażony w konfigurowalny tryb nocny: uruchamiany automatycznie w wybranych przez użytkownika godzinach. Przełączenie w tryb nocny zapewnia min. obniżenie jasności ekranu oraz poziomu głośności alarmów.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28B8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8B8" w:rsidRPr="00E7301D" w:rsidRDefault="005128B8" w:rsidP="005128B8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Dostęp na ekranie monitora do kompletu dokumentacji: instrukcji obsługi wraz z dodatkami, instrukcji technicznej, opisu interfejsu HL7 oraz kompletnej listy akcesoriów i materiałów zużywalnych. Nawigacja po instrukcji przy użyciu hiperłączy ułatwiających przełączanie pomiędzy dokumentami i rozdziałami.</w:t>
            </w: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TAK/NIE</w:t>
            </w:r>
          </w:p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Parametr oceniany:</w:t>
            </w:r>
          </w:p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 – 1 pkt,</w:t>
            </w:r>
          </w:p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NIE – 0 pkt.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28B8" w:rsidRPr="00E7301D" w:rsidTr="00790449">
        <w:trPr>
          <w:cantSplit/>
          <w:trHeight w:val="536"/>
        </w:trPr>
        <w:tc>
          <w:tcPr>
            <w:tcW w:w="10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128B8" w:rsidRPr="00E7301D" w:rsidRDefault="005128B8" w:rsidP="005128B8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Zasilanie </w:t>
            </w:r>
          </w:p>
        </w:tc>
      </w:tr>
      <w:tr w:rsidR="005128B8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8B8" w:rsidRPr="00E7301D" w:rsidRDefault="005128B8" w:rsidP="005128B8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Zasilanie sieciowe, zgodne z PN, dostosowane do 230V/50Hz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28B8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8B8" w:rsidRPr="00E7301D" w:rsidRDefault="005128B8" w:rsidP="005128B8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Monitor wyposażony w zasilanie akumulatorowe zapewniające przynajmniej 240 minut pracy na wypadek zaniku zasilania lub transportu. W czasie pracy na baterii parametry są wyświetlane na dużym ekranie monitora stacjonarno-transportowego lub stacjonarnego – dopuszcza się realizację tej funkcjonalności przy pomocy zewnętrznego zasilacza UPS klasy medycznej montowanego na stanowisku. W przypadku zewnętrznego zasilacza w ofercie ujęty uchwyt do montażu zasilacza na stanowisku pacjenta.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28B8" w:rsidRPr="00E7301D" w:rsidTr="00790449">
        <w:trPr>
          <w:cantSplit/>
          <w:trHeight w:val="536"/>
        </w:trPr>
        <w:tc>
          <w:tcPr>
            <w:tcW w:w="10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128B8" w:rsidRPr="00E7301D" w:rsidRDefault="005128B8" w:rsidP="005128B8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b/>
                <w:sz w:val="22"/>
                <w:szCs w:val="22"/>
              </w:rPr>
              <w:t>Praca w sieci centralnego monitorowania</w:t>
            </w:r>
          </w:p>
        </w:tc>
      </w:tr>
      <w:tr w:rsidR="005128B8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8B8" w:rsidRPr="00E7301D" w:rsidRDefault="005128B8" w:rsidP="005128B8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Możliwość pracy w sieci centralnego monitorowania, zgodnej ze standardem Ethernet.</w:t>
            </w: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28B8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8B8" w:rsidRPr="00E7301D" w:rsidRDefault="005128B8" w:rsidP="005128B8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Monitory umożliwiają wykorzystanie jednej fizycznej infrastruktury teleinformatycznej, w sieci przewodowej i bezprzewodowej, do celu sieci centralnego monitorowania oraz innych aplikacji szpitalnych, w sposób zapewniający bezpieczeństwo i priorytet przesyłania wrażliwych danych medycznych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28B8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8B8" w:rsidRPr="00E7301D" w:rsidRDefault="005128B8" w:rsidP="005128B8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Monitory gotowe do współpracy z centralą monitorującą, która umożliwia zdalny nadzór nad oferowanymi monitorami, a także w pełni modułowymi monitorami wysokiej klasy tego samego producenta. Nadzór oznacza podgląd bieżących wartości parametrów, krzywych i stanów alarmowych, możliwość wyciszania alarmów i zmiany granic alarmowych, możliwość retrospektywnej analizy danych (trendów i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full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disclosure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28B8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8B8" w:rsidRPr="00E7301D" w:rsidRDefault="005128B8" w:rsidP="005128B8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Monitory wyposażone w funkcję wysyłania parametrów życiowych monitorowanych pacjentów do zewnętrznych systemów, za pośrednictwem protokołu HL7. Funkcja realizowana bezpośrednio przez kardiomonitory lub dedykowany serwer komunikacyjny - ujęty w ofercie.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28B8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8B8" w:rsidRPr="00E7301D" w:rsidRDefault="005128B8" w:rsidP="005128B8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Monitory umożliwiają zdalny podgląd ekranu innego kardiomonitora pracującego w sieci centralnego monitorowania. Funkcjonalność zależy wyłącznie od funkcjonowania sieci monitorowania i nie wymaga obecności dedykowanych komputerów, serwerów, centrali monitorującej, itp.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28B8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8B8" w:rsidRPr="00E7301D" w:rsidRDefault="005128B8" w:rsidP="005128B8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Monitory umożliwiają wyświetlanie informacji o alarmach występujących na pozostałych kardiomonitorach pracujących w sieci centralnego monitorowania. Możliwość konfiguracji stanowisk, pomiędzy którymi mają być wymieniane informacje o alarmach.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28B8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8B8" w:rsidRPr="00E7301D" w:rsidRDefault="005128B8" w:rsidP="005128B8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Monitory zapewniają automatyczne otwarcie ekranu zdalnego monitora w momencie wystąpienia zdarzenia alarmowego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TAK/NIE</w:t>
            </w:r>
          </w:p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Parametr oceniany:</w:t>
            </w:r>
          </w:p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 – 1 pkt,</w:t>
            </w:r>
          </w:p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NIE – 0 pkt.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28B8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8B8" w:rsidRPr="00E7301D" w:rsidRDefault="005128B8" w:rsidP="005128B8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Możliwość drukowania krzywych, trendów graficznych i numerycznych na podłączonej do sieci centralnego monitorowania tradycyjnej drukarce laserowej - bez konieczności pośredniczenia centrali monitorującej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28B8" w:rsidRPr="00E7301D" w:rsidTr="00790449">
        <w:trPr>
          <w:cantSplit/>
          <w:trHeight w:val="536"/>
        </w:trPr>
        <w:tc>
          <w:tcPr>
            <w:tcW w:w="10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128B8" w:rsidRPr="00E7301D" w:rsidRDefault="005128B8" w:rsidP="005128B8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b/>
                <w:sz w:val="22"/>
                <w:szCs w:val="22"/>
              </w:rPr>
              <w:t>Sposób montażu</w:t>
            </w:r>
          </w:p>
        </w:tc>
      </w:tr>
      <w:tr w:rsidR="005128B8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8B8" w:rsidRPr="00E7301D" w:rsidRDefault="005128B8" w:rsidP="005128B8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W ofercie do każdego kardiomonitora wózek 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28B8" w:rsidRPr="00E7301D" w:rsidTr="00790449">
        <w:trPr>
          <w:cantSplit/>
          <w:trHeight w:val="536"/>
        </w:trPr>
        <w:tc>
          <w:tcPr>
            <w:tcW w:w="10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8B8" w:rsidRPr="00E7301D" w:rsidRDefault="005128B8" w:rsidP="005128B8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b/>
                <w:sz w:val="22"/>
                <w:szCs w:val="22"/>
              </w:rPr>
              <w:t>Wymogi funkcjonalne</w:t>
            </w: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Monitor stacjonarny lub stacjonarno-transportowy wyposażony w dotykowy ekran panoramiczny o przekątnej min. 12,1" i rozdzielczości min. 1280 x 800 pikseli.  Umożliwia wyświetlanie przynajmniej 12 krzywych dynamicznych jednocześnie i pełną obsługę funkcji monitorowania pacjenta. Nie dopuszcza się realizacji tej funkcjonalności z wykorzystaniem zewnętrznego, dodatkowego ekranu lub innych rozwiązań zależnych od funkcjonowania sieci informatycznej.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Rozmiar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ekranu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dostępny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w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czasie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monitorowania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transportowego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min. 6,2".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Możliwość podłączenia dodatkowego ekranu powielającego o przekątnej min. 19”.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Ekran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podłączany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z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wykorzystaniem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złącza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cyfrowego</w:t>
            </w:r>
            <w:proofErr w:type="spellEnd"/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Obsługa kardiomonitora poprzez ekran dotykowy lub ekran dotykowy i pokrętło funkcyjne. Możliwość podłączenia czytnika kodów kreskowych (standardowych i QR) do portu USB.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Możliwość zaprogramowania min. 7 różnych konfiguracji (profili) monitora, zawierających m.in. ustawienia monitorowanych parametrów oraz widoki ekranów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Możliwość wyboru spośród przynajmniej 16 różnych układów (widoków) ekranu, z możliwością edycji i zapisu przynajmniej 6 z nich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Dostępny tzw. ekran dużych liczb z możliwością podziału na 4 oraz 6 okien parametrów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TAK/NIE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Parametr oceniany: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 – 1 pkt,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NIE – 0 pkt.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Monitor stacjonarno-transportowy lub moduł transportowy przystosowany do warunków transportowych, odporny na upadek z wysokości przynajmniej 0,75m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Monitor stacjonarno-transportowy lub moduł transportowy przystosowany do warunków transportowych, klasa odporności na zachlapanie wodą nie gorsza niż IPX2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Monitor stacjonarno-transportowy lub monitor stacjonarny odporny przeciwko zachlapaniu i wnikaniu ciał stałych.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Klasa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odporności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nie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gorsza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niż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IP22</w:t>
            </w: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TAK/NIE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Parametr oceniany: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 – 1 pkt,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NIE – 0 pkt.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Masa monitora stacjonarno-transportowego lub modułu transportowego wraz z wbudowanym ekranem oraz akumulatorem nie przekracza 4,5 kg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Monitor stacjonarno-transportowy lub moduł transportowy umożliwia kontynuację monitorowania w czasie transportu przynajmniej następujących parametrów (zgodnie z ich wymogami opisanymi w dalszej części specyfikacji): EKG, SpO2, NIBP, 2x Temp., , z możliwością rozbudowy o pomiar 2x IBP, CO2 w strumieniu bocznym, w zależności od podłączonych modułów pomiarowych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10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Monitorowane parametry </w:t>
            </w: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EKG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Monitorowanie przynajmniej 1 z 3, 7 i 12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odprowadzeń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, z jakością diagnostyczną, w zależności od użytego przewodu EKG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Jednoczesna prezentacja przynajmniej 3 kanałów EKG na ekranie głównym kardiomonitora: 3 różne odprowadzenia lub 1 odprowadzenie w formie kaskady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Pomiar częstości akcji serca w zakresie min. 20 - 300 ud/min. z dokładnością +/- 1% lub +/- 1ud/min.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W komplecie do każdego monitora: przewód do podłączenia 5- elektrod dla dorosłych i dzieci.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Długość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przewodów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przynajmniej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3m.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Analiza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arytmii</w:t>
            </w:r>
            <w:proofErr w:type="spellEnd"/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Wieloodprowadzeniowa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analiza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arytmii</w:t>
            </w:r>
            <w:proofErr w:type="spellEnd"/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Analiza arytmii w przynajmniej 4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odprowadzeniach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EKG jednocześnie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TAK/NIE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Parametr oceniany: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 – 1 pkt,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NIE – 0 pkt.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Zaawansowana analiza arytmii wg przynajmniej 12 definicji z rozpoznawaniem arytmii komorowych i przedsionkowych, w tym migotania przedsionków. Dopuszcza się realizację tej funkcjonalności przez zewnętrzny aparat EKG z trybem pomiaru ciągłego - w takiej sytuacji należy zaoferować 1 szt. takiego aparatu na każdy oferowany kardiomonitor.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Analiza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ST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Analiza odcinka ST w 12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odprowadzeniach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jednocześnie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Zakres pomiarowy analizy odcinka ST min. -15,0 -(+) 15,0 mm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Oddech</w:t>
            </w:r>
            <w:proofErr w:type="spellEnd"/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Pomiar częstości oddechu metodą impedancyjną w zakresie min. 4-120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odd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/min.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Prezentacja częstości oddechu oraz krzywej oddechowej 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Saturacja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(SpO2)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Pomiar wysycenia hemoglobiny tlenem, z wykorzystaniem algorytmu odpornego na niską perfuzję i artefakty ruchowe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Masimo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RD</w:t>
            </w: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Pomiar saturacji w zakresie min. 70-100%</w:t>
            </w:r>
          </w:p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Prezentacja wartości saturacji, krzywej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pletyzmograficznej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i wskaźnika perfuzji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Możliwość wyboru SPO2 jako źródła częstości rytmu serca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Modulacja dźwięku tętna przy zmianie wartości % SpO2.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W komplecie do każdego monitora: przewód podłączeniowy dł. min. 3m oraz wielorazowy czujnik na palec dla noworodków.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Oryginalne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akcesoria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pomiarowe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producenta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algorytmu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pomiarowego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Pomiar ciśnienia metodą nieinwazyjną (NIBP)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Algorytm pomiarowy wykorzystuje dwutubowy systemem wężyków i mankietów, skokową deflację, odporny na zakłócenia, artefakty i niemiarową akcję serca, skraca czas pomiarów przez wstępne pompowanie mankietu do wartości bezpośrednio powyżej ostatnio zmierzonej wartości ciśnienia skurczowego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TAK/NIE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Parametr oceniany: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 – 1 pkt,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NIE – 0 pkt.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Pomiar ciśnienia tętniczego metodą oscylometryczną.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Pomiar ręczny na żądanie, ciągły przez określony czas oraz automatyczny.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Zakres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przedziałów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czasowych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w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trybie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automatycznym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przynajmniej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1 - 120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minut</w:t>
            </w:r>
            <w:proofErr w:type="spellEnd"/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Funkcja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stazy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żylnej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Możliwość zaprogramowania własnych cykli pomiarowych NIBP, składających się z min. 4 kroków z możliwością indywidualnej konfiguracji liczby powtórzeń oraz interwału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TAK/NIE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Parametr oceniany: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 – 2 pkt,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NIE – 0 pkt.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Pomiar ciśnienia w zakresie przynajmniej od 10 mmHg dla ciśnienia rozkurczowego do 250 mmHg dla ciśnienia skurczowego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Prezentacja wartości: skurczowej, rozkurczowej oraz średniej. Możliwość wyświetlania listy ostatnich wyników pomiarów NIBP na ekranie głównym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W komplecie do każdego monitora: wężyk z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szybkozłączką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dla noworodków oraz 3 mankiety wielorazowe dla noworodków w różnych rozmiarach.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Mankiety dla pacjentów otyłych stożkowe, dedykowane i walidowane do pomiaru na przedramieniu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TAK/NIE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Parametr oceniany: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 – 1 pkt,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NIE – 0 pkt.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Temperatura</w:t>
            </w:r>
            <w:proofErr w:type="spellEnd"/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Pomiar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temperatury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w 2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kanałach</w:t>
            </w:r>
            <w:proofErr w:type="spellEnd"/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Jednoczesna prezentacja w polu parametru temperatury na ekranie głównym monitora stacjonarnego min. 2 wartości temperatury jednocześnie: obu zmierzonych lub jednej zmierzonej i różnicy temperatur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Możliwość ustawienia etykiet temperatur wg. miejsca pomiaru</w:t>
            </w: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W komplecie do każdego monitora: wielorazowy czujnik temperatury skóry dla dzieci i noworodków 2 szt. 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Możliwość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rozbudowy</w:t>
            </w:r>
            <w:proofErr w:type="spellEnd"/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Pomiar ciśnienia metodą inwazyjną (IBP)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Pomiar ciśnienia metodą inwazyjną w 2 kanałach. Możliwość rozbudowy do przynajmniej 3 kanałów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Pomiar ciśnienia w zakresie przynajmniej -20 do 320 mmHg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Możliwość monitorowania i wyboru nazw różnych ciśnień, w tym ciśnienia śródczaszkowego, wraz z automatycznym doborem skali i ustawień dla poszczególnych ciśnień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Pomiar parametru PPV: automatyczny lub ręczny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Ciągły, automatyczny pomiar parametrów PPV i SPV na wybranym kanale ciśnienia. Prezentacja wyników pomiarów na ekranie głównym. Parametry zapisywane w trendach.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TAK/NIE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Parametr oceniany: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 – 1 pkt,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NIE – 0 pkt.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W komplecie do każdego monitora przewody do podłączenia przetworników  (po jednym na każdy oferowany kanał)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Pomiar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kapnografii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(CO2)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Pomiar wdechowego i wydechowego stężenia dwutlenku węgla w drogach oddechowych oraz pomiar częstości oddechu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Pomiar realizowany w strumieniu bocznym, dostępny u pacjentów zaintubowanych i niezaintubowanych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W komplecie do każdego monitora: 10 jednorazowych zestawów pomiarowych dla pacjentów zaintubowanych, dorosłych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Monitorowanie gazowe w strumieniu bocznym, min.: CO2, O2, N2O i anestetyków z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automatyczą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identyfikacją środka znieczulającego oraz prezentacją MAC /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MACage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. Pomiary możliwe u pacjentów zaintubowanych i niezaintubowanych. Pomiar realizowany z wykorzystaniem modułu oferowanego systemu monitorowania, przenoszonego pomiędzy stanowiskami, zapewniającego wyświetlanie monitorowanych parametrów na ekranie monitora i pełną obsługę funkcji monitorowania i alarmowania za pośrednictwem ekranu monitora pacjenta. Możliwość zamiennego stosowania modułu pomiarowego pomiędzy różnymi monitorami i aparatami do znieczulania tego samego producenta.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TAK/NIE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Parametr oceniany: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 – 1 pkt,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NIE – 0 pkt.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Możliwość rozbudowy o pomiar rzutu minutowego serca z wykorzystaniem cewnika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Swana-Ganza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. Pomiar realizowany z wykorzystaniem modułu oferowanego systemu monitorowania, przenoszonego pomiędzy stanowiskami, zapewniającego wyświetlanie monitorowanych parametrów na ekranie monitora i pełną obsługę funkcji monitorowania i alarmowania za pośrednictwem ekranu monitora pacjenta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Możliwość rozbudowy o pomiar zwiotczenia mięśni przez monitorowanie transmisji nerwowo-mięśniowej NMT z wykorzystaniem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mechanosensora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lub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elektrosensora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- możliwość wyboru przez Użytkownika pomiędzy w/w metodami w trakcie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użytkownia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monitora. Dostępne tryby stymulacji min.: ST, DBS, TET,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ToF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. Kardiomonitor wyposażony w funkcje:</w:t>
            </w: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br/>
              <w:t xml:space="preserve">- tzw.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Hookup-advisor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- narzędzie ekranowe podpowiadające rozmieszczenie elektrod oraz umożliwiające weryfikację prawidłowego ich kontaktu ze skórą pacjenta,</w:t>
            </w: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br/>
              <w:t>- dźwiękową sygnalizację stymulacji,</w:t>
            </w: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br/>
              <w:t>- dźwiękową sygnalizację ustępowania blokady.</w:t>
            </w: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br/>
              <w:t>Pomiar realizowany z wykorzystaniem modułu oferowanego systemu monitorowania, przenoszonego pomiędzy stanowiskami, zapewniającego wyświetlanie monitorowanych parametrów na ekranie monitora i pełną obsługę funkcji monitorowania i alarmowania za pośrednictwem ekranu monitora pacjenta</w:t>
            </w: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TAK/NIE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Parametr oceniany: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 – 1 pkt,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NIE – 0 pkt.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Możliwość rozbudowy o pomiar głębokości uśpienia. Pomiar realizowany przez analizę sygnału EEG, wspomaganego pomiarem elektromiografii mięśni czoła, z obliczaniem parametrów SE, RE i BSR. Pomiar realizowany z wykorzystaniem modułu oferowanego systemu monitorowania, przenoszonego pomiędzy stanowiskami, zapewniającego wyświetlanie monitorowanych parametrów na ekranie monitora i pełną obsługę funkcji monitorowania i alarmowania za pośrednictwem ekranu monitora pacjenta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TAK/NIE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Parametr oceniany: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 – 1 pkt,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NIE – 0 pkt.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Możliwość rozbudowy kardiomonitora o pomiar poziomu analgezji - pomiar reakcji hemodynamicznej pacjenta na bodźce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nocyceptywne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i środki przeciwbólowe, realizowany za pośrednictwem czujnika saturacji - bez konieczności stosowania dodatkowych akcesoriów zużywalnych. Wynik pomiaru prezentowany na wspólnym wykresie z pomiarem głębokości uśpienia, w sposób ułatwiający prowadzenie znieczulenia i optymalizację zużycia środków znieczulających.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TAK/NIE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Parametr oceniany: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 – 1 pkt,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NIE – 0 pkt.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Możliwość rozbudowy o podłączenie aparatu do znieczulania, zapewniające prezentację na ekranie kardiomonitora wartości parametrów i krzywych dynamicznych oraz sygnalizację alarmów. </w:t>
            </w: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Dane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przesyłane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dalej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do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systemu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centralnego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monitorowania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10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b/>
                <w:sz w:val="22"/>
                <w:szCs w:val="22"/>
              </w:rPr>
              <w:t>Alarmy</w:t>
            </w: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Alarmy przynajmniej 3-stopniowe, sygnalizowane wizualnie i dźwiękowo, z wizualizacją parametru, który wywołał alarm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Możliwość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zmiany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priorytetu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alarmów</w:t>
            </w:r>
            <w:proofErr w:type="spellEnd"/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Alarmy techniczne z podaniem przyczyny.</w:t>
            </w: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Granice alarmowe regulowane ręcznie - przez użytkownika, i automatycznie (na żądanie) - na podstawie bieżących wartości parametrów.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Granice regulowane indywidualnie - w oknach poszczególnych parametrów - oraz zbiorczo, w oknie ustawień alarmów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Możliwość wyciszenia alarmów. Czas wyciszenia alarmów przynajmniej: 2 minuty oraz bez limitu czasowego.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Możliwość bezdotykowego wyciszania alarmów gestem - poprzez odpowiedni ruch dłonią przed ekranem kardiomonitora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TAK/NIE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Parametr oceniany: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 – 1 pkt,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NIE – 0 pkt.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Monitor wyposażony w pamięć przynajmniej 100 zdarzeń alarmowych zawierających wycinki krzywych dynamicznych. Zdarzenia zapisywane automatycznie - w chwili wystąpienia zdarzenia alarmowego, a także ręcznie - po naciśnięciu odpowiedniego przycisku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Możliwość rozbudowy kardiomonitora o funkcję zaawansowanych alarmów ułatwiających diagnozowanie trudnych stanów klinicznych poprzez informowanie personelu o jednoczasowym zajściu kilku warunków brzegowych - konfigurowanych przez użytkownika - związanych z wartościami różnych mierzonych parametrów.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TAK/NIE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Parametr oceniany: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 – 1 pkt,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NIE – 0 pkt.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10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Analiza danych </w:t>
            </w: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Stanowisko monitorowania pacjenta wyposażone w pamięć trendów z ostatnich min. 96 godzin.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Monitor wyposażony w pamięć przynajmniej 168 godzin trendów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TAK/NIE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Parametr oceniany: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 – 1 pkt,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NIE – 0 pkt.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Możliwość wyświetlania trendów w formie graficznej i tabelarycznej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Monitor z możliwością rozbudowy o funkcje wczesnego ostrzegania wg skali NEWS2 i MEWS oraz funkcję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OxyCRG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oraz wbudowaną pamięć pełnych przebiegów dynamicznych Full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Disclosure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z min. 72 godzin dla przynajmniej: wszystkich przebiegów EKG, SpO2, Oddechu i 2x IBP.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TAK/NIE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Parametr oceniany: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 – 1 pkt,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NIE – 0 pkt.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Monitor wyposażony w funkcję przenoszenia konfiguracji oraz trendów parametrów życiowych pacjenta za pośrednictwem pamięci USB. Funkcja eksportu trendów zabezpieczona przed niepowołanym dostępem, trendy eksportowane w formie zanonimizowanej, zaszyfrowanej w formacie umożliwiającym odczyt z wykorzystaniem pakietu MS Excel lub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Acrobat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Reader.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TAK/NIE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Parametr oceniany: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 – 1 pkt,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NIE – 0 pkt.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Dodatkowe monitorowanie saturacji wykonywane przez oddzielne urządzenie do monitorowania saturacji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962DC" w:rsidRPr="00E7301D" w:rsidRDefault="009962DC" w:rsidP="009962DC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sz w:val="22"/>
                <w:szCs w:val="22"/>
              </w:rPr>
              <w:t xml:space="preserve">Gwarancja minimum </w:t>
            </w:r>
            <w:r w:rsidR="00B97F84">
              <w:rPr>
                <w:rFonts w:asciiTheme="majorHAnsi" w:hAnsiTheme="majorHAnsi" w:cstheme="majorHAnsi"/>
                <w:sz w:val="22"/>
                <w:szCs w:val="22"/>
              </w:rPr>
              <w:t>24 miesiące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sz w:val="22"/>
                <w:szCs w:val="22"/>
              </w:rPr>
              <w:t>TAK, podać</w:t>
            </w:r>
          </w:p>
          <w:p w:rsidR="009962DC" w:rsidRPr="00E7301D" w:rsidRDefault="009962DC" w:rsidP="009962DC">
            <w:pPr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E7301D">
              <w:rPr>
                <w:rFonts w:asciiTheme="majorHAnsi" w:eastAsia="Calibri" w:hAnsiTheme="majorHAnsi" w:cstheme="majorHAnsi"/>
                <w:sz w:val="22"/>
                <w:szCs w:val="22"/>
              </w:rPr>
              <w:t>Parametr oceniany:</w:t>
            </w:r>
          </w:p>
          <w:p w:rsidR="009962DC" w:rsidRPr="00E7301D" w:rsidRDefault="00087730" w:rsidP="009962DC">
            <w:pPr>
              <w:jc w:val="center"/>
              <w:rPr>
                <w:rFonts w:asciiTheme="majorHAnsi" w:eastAsia="Calibri" w:hAnsiTheme="majorHAnsi" w:cstheme="majorHAnsi"/>
                <w:color w:val="0D0D0D" w:themeColor="text1" w:themeTint="F2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color w:val="0D0D0D" w:themeColor="text1" w:themeTint="F2"/>
                <w:sz w:val="22"/>
                <w:szCs w:val="22"/>
              </w:rPr>
              <w:t>24</w:t>
            </w:r>
            <w:r w:rsidR="009962DC" w:rsidRPr="00E7301D">
              <w:rPr>
                <w:rFonts w:asciiTheme="majorHAnsi" w:eastAsia="Calibri" w:hAnsiTheme="majorHAnsi" w:cstheme="majorHAnsi"/>
                <w:color w:val="0D0D0D" w:themeColor="text1" w:themeTint="F2"/>
                <w:sz w:val="22"/>
                <w:szCs w:val="22"/>
              </w:rPr>
              <w:t xml:space="preserve"> miesi</w:t>
            </w:r>
            <w:r w:rsidR="005665F3">
              <w:rPr>
                <w:rFonts w:asciiTheme="majorHAnsi" w:eastAsia="Calibri" w:hAnsiTheme="majorHAnsi" w:cstheme="majorHAnsi"/>
                <w:color w:val="0D0D0D" w:themeColor="text1" w:themeTint="F2"/>
                <w:sz w:val="22"/>
                <w:szCs w:val="22"/>
              </w:rPr>
              <w:t>ące</w:t>
            </w:r>
            <w:r>
              <w:rPr>
                <w:rFonts w:asciiTheme="majorHAnsi" w:eastAsia="Calibri" w:hAnsiTheme="majorHAnsi" w:cstheme="majorHAnsi"/>
                <w:color w:val="0D0D0D" w:themeColor="text1" w:themeTint="F2"/>
                <w:sz w:val="22"/>
                <w:szCs w:val="22"/>
              </w:rPr>
              <w:t xml:space="preserve"> </w:t>
            </w:r>
            <w:r w:rsidR="009962DC" w:rsidRPr="00E7301D">
              <w:rPr>
                <w:rFonts w:asciiTheme="majorHAnsi" w:eastAsia="Calibri" w:hAnsiTheme="majorHAnsi" w:cstheme="majorHAnsi"/>
                <w:color w:val="0D0D0D" w:themeColor="text1" w:themeTint="F2"/>
                <w:sz w:val="22"/>
                <w:szCs w:val="22"/>
              </w:rPr>
              <w:t>- 0 pkt</w:t>
            </w:r>
          </w:p>
          <w:p w:rsidR="009962DC" w:rsidRDefault="00087730" w:rsidP="009962DC">
            <w:pPr>
              <w:jc w:val="center"/>
              <w:rPr>
                <w:rFonts w:asciiTheme="majorHAnsi" w:eastAsia="Calibri" w:hAnsiTheme="majorHAnsi" w:cstheme="majorHAnsi"/>
                <w:color w:val="0D0D0D" w:themeColor="text1" w:themeTint="F2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color w:val="0D0D0D" w:themeColor="text1" w:themeTint="F2"/>
                <w:sz w:val="22"/>
                <w:szCs w:val="22"/>
              </w:rPr>
              <w:t>36</w:t>
            </w:r>
            <w:r w:rsidR="009962DC" w:rsidRPr="00E7301D">
              <w:rPr>
                <w:rFonts w:asciiTheme="majorHAnsi" w:eastAsia="Calibri" w:hAnsiTheme="majorHAnsi" w:cstheme="majorHAnsi"/>
                <w:color w:val="0D0D0D" w:themeColor="text1" w:themeTint="F2"/>
                <w:sz w:val="22"/>
                <w:szCs w:val="22"/>
              </w:rPr>
              <w:t xml:space="preserve"> miesięc</w:t>
            </w:r>
            <w:r w:rsidR="005665F3">
              <w:rPr>
                <w:rFonts w:asciiTheme="majorHAnsi" w:eastAsia="Calibri" w:hAnsiTheme="majorHAnsi" w:cstheme="majorHAnsi"/>
                <w:color w:val="0D0D0D" w:themeColor="text1" w:themeTint="F2"/>
                <w:sz w:val="22"/>
                <w:szCs w:val="22"/>
              </w:rPr>
              <w:t>y</w:t>
            </w:r>
            <w:r w:rsidR="009962DC" w:rsidRPr="00E7301D">
              <w:rPr>
                <w:rFonts w:asciiTheme="majorHAnsi" w:eastAsia="Calibri" w:hAnsiTheme="majorHAnsi" w:cstheme="majorHAnsi"/>
                <w:color w:val="0D0D0D" w:themeColor="text1" w:themeTint="F2"/>
                <w:sz w:val="22"/>
                <w:szCs w:val="22"/>
              </w:rPr>
              <w:t xml:space="preserve"> – </w:t>
            </w:r>
            <w:r w:rsidR="00174EDA">
              <w:rPr>
                <w:rFonts w:asciiTheme="majorHAnsi" w:eastAsia="Calibri" w:hAnsiTheme="majorHAnsi" w:cstheme="majorHAnsi"/>
                <w:color w:val="0D0D0D" w:themeColor="text1" w:themeTint="F2"/>
                <w:sz w:val="22"/>
                <w:szCs w:val="22"/>
              </w:rPr>
              <w:t>1</w:t>
            </w:r>
            <w:r w:rsidR="009962DC" w:rsidRPr="00E7301D">
              <w:rPr>
                <w:rFonts w:asciiTheme="majorHAnsi" w:eastAsia="Calibri" w:hAnsiTheme="majorHAnsi" w:cstheme="majorHAnsi"/>
                <w:color w:val="0D0D0D" w:themeColor="text1" w:themeTint="F2"/>
                <w:sz w:val="22"/>
                <w:szCs w:val="22"/>
              </w:rPr>
              <w:t>0 pkt</w:t>
            </w:r>
          </w:p>
          <w:p w:rsidR="00174EDA" w:rsidRPr="00E7301D" w:rsidRDefault="00174EDA" w:rsidP="009962DC">
            <w:pPr>
              <w:jc w:val="center"/>
              <w:rPr>
                <w:rFonts w:asciiTheme="majorHAnsi" w:eastAsia="Calibri" w:hAnsiTheme="majorHAnsi" w:cstheme="majorHAnsi"/>
                <w:color w:val="0D0D0D" w:themeColor="text1" w:themeTint="F2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color w:val="0D0D0D" w:themeColor="text1" w:themeTint="F2"/>
                <w:sz w:val="22"/>
                <w:szCs w:val="22"/>
              </w:rPr>
              <w:t>48 miesięcy – 20 pkt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:rsidR="00925A70" w:rsidRPr="00E7301D" w:rsidRDefault="00925A70" w:rsidP="00FB3EDF">
      <w:pPr>
        <w:suppressAutoHyphens/>
        <w:spacing w:after="120" w:line="480" w:lineRule="auto"/>
        <w:contextualSpacing/>
        <w:rPr>
          <w:rFonts w:asciiTheme="majorHAnsi" w:eastAsia="Calibri" w:hAnsiTheme="majorHAnsi" w:cstheme="majorHAnsi"/>
          <w:b/>
          <w:sz w:val="22"/>
          <w:szCs w:val="22"/>
          <w:lang w:eastAsia="en-US"/>
        </w:rPr>
      </w:pPr>
    </w:p>
    <w:sectPr w:rsidR="00925A70" w:rsidRPr="00E730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15EB" w:rsidRDefault="006F15EB" w:rsidP="000D4E7D">
      <w:r>
        <w:separator/>
      </w:r>
    </w:p>
  </w:endnote>
  <w:endnote w:type="continuationSeparator" w:id="0">
    <w:p w:rsidR="006F15EB" w:rsidRDefault="006F15EB" w:rsidP="000D4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15EB" w:rsidRDefault="006F15EB" w:rsidP="000D4E7D">
      <w:r>
        <w:separator/>
      </w:r>
    </w:p>
  </w:footnote>
  <w:footnote w:type="continuationSeparator" w:id="0">
    <w:p w:rsidR="006F15EB" w:rsidRDefault="006F15EB" w:rsidP="000D4E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BAD22CD"/>
    <w:multiLevelType w:val="hybridMultilevel"/>
    <w:tmpl w:val="9B1CEB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055D19"/>
    <w:multiLevelType w:val="hybridMultilevel"/>
    <w:tmpl w:val="C27E060E"/>
    <w:lvl w:ilvl="0" w:tplc="80DC1EC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4361E3"/>
    <w:multiLevelType w:val="multilevel"/>
    <w:tmpl w:val="149C0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72052F"/>
    <w:multiLevelType w:val="hybridMultilevel"/>
    <w:tmpl w:val="3A2AE0BC"/>
    <w:lvl w:ilvl="0" w:tplc="A5065534">
      <w:start w:val="51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520811"/>
    <w:multiLevelType w:val="hybridMultilevel"/>
    <w:tmpl w:val="495CAF94"/>
    <w:lvl w:ilvl="0" w:tplc="80DC1E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6E0BDE"/>
    <w:multiLevelType w:val="hybridMultilevel"/>
    <w:tmpl w:val="9B1CEB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7C49FE"/>
    <w:multiLevelType w:val="hybridMultilevel"/>
    <w:tmpl w:val="690A121C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4A3B57"/>
    <w:multiLevelType w:val="hybridMultilevel"/>
    <w:tmpl w:val="690A121C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99260D"/>
    <w:multiLevelType w:val="hybridMultilevel"/>
    <w:tmpl w:val="8AA8BCA6"/>
    <w:lvl w:ilvl="0" w:tplc="80DC1EC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9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A70"/>
    <w:rsid w:val="000516CF"/>
    <w:rsid w:val="00087730"/>
    <w:rsid w:val="000D4E7D"/>
    <w:rsid w:val="0010205F"/>
    <w:rsid w:val="0013102C"/>
    <w:rsid w:val="00145DD6"/>
    <w:rsid w:val="00167E75"/>
    <w:rsid w:val="00170594"/>
    <w:rsid w:val="00174EDA"/>
    <w:rsid w:val="00191B55"/>
    <w:rsid w:val="001E08AB"/>
    <w:rsid w:val="0020007B"/>
    <w:rsid w:val="00207081"/>
    <w:rsid w:val="0026721D"/>
    <w:rsid w:val="002C7A9C"/>
    <w:rsid w:val="002D0F79"/>
    <w:rsid w:val="002F52BB"/>
    <w:rsid w:val="00302666"/>
    <w:rsid w:val="003253CB"/>
    <w:rsid w:val="00343A27"/>
    <w:rsid w:val="0035036C"/>
    <w:rsid w:val="00352633"/>
    <w:rsid w:val="00357FAF"/>
    <w:rsid w:val="003C5407"/>
    <w:rsid w:val="003D203A"/>
    <w:rsid w:val="003F184B"/>
    <w:rsid w:val="004333DD"/>
    <w:rsid w:val="004369F3"/>
    <w:rsid w:val="00451A90"/>
    <w:rsid w:val="004541AF"/>
    <w:rsid w:val="004A3997"/>
    <w:rsid w:val="004D2762"/>
    <w:rsid w:val="004D4B41"/>
    <w:rsid w:val="004F5166"/>
    <w:rsid w:val="005128B8"/>
    <w:rsid w:val="00542FEA"/>
    <w:rsid w:val="005665F3"/>
    <w:rsid w:val="005747F1"/>
    <w:rsid w:val="005A3C56"/>
    <w:rsid w:val="00601126"/>
    <w:rsid w:val="00637C20"/>
    <w:rsid w:val="00654C9B"/>
    <w:rsid w:val="00686F97"/>
    <w:rsid w:val="006D66C6"/>
    <w:rsid w:val="006F15EB"/>
    <w:rsid w:val="006F21AC"/>
    <w:rsid w:val="00720277"/>
    <w:rsid w:val="00731E97"/>
    <w:rsid w:val="00790449"/>
    <w:rsid w:val="007B46BE"/>
    <w:rsid w:val="007D77F2"/>
    <w:rsid w:val="007F0719"/>
    <w:rsid w:val="00823C89"/>
    <w:rsid w:val="008455E7"/>
    <w:rsid w:val="008D7142"/>
    <w:rsid w:val="008F142D"/>
    <w:rsid w:val="00925A70"/>
    <w:rsid w:val="00974702"/>
    <w:rsid w:val="00994802"/>
    <w:rsid w:val="009962DC"/>
    <w:rsid w:val="00A44329"/>
    <w:rsid w:val="00AA0D63"/>
    <w:rsid w:val="00AA3A67"/>
    <w:rsid w:val="00AA5D53"/>
    <w:rsid w:val="00B45E4E"/>
    <w:rsid w:val="00B97F84"/>
    <w:rsid w:val="00BF460B"/>
    <w:rsid w:val="00C17262"/>
    <w:rsid w:val="00C4595A"/>
    <w:rsid w:val="00C45B92"/>
    <w:rsid w:val="00C62B3D"/>
    <w:rsid w:val="00C84415"/>
    <w:rsid w:val="00C91A55"/>
    <w:rsid w:val="00CC590F"/>
    <w:rsid w:val="00CF2857"/>
    <w:rsid w:val="00D03B3A"/>
    <w:rsid w:val="00D129F8"/>
    <w:rsid w:val="00D15ED1"/>
    <w:rsid w:val="00D21665"/>
    <w:rsid w:val="00D4717C"/>
    <w:rsid w:val="00D90E15"/>
    <w:rsid w:val="00DA7863"/>
    <w:rsid w:val="00DD7B9D"/>
    <w:rsid w:val="00DE28FF"/>
    <w:rsid w:val="00E7301D"/>
    <w:rsid w:val="00EA2034"/>
    <w:rsid w:val="00EA55D4"/>
    <w:rsid w:val="00EE1528"/>
    <w:rsid w:val="00EF45D2"/>
    <w:rsid w:val="00F240CB"/>
    <w:rsid w:val="00F5767F"/>
    <w:rsid w:val="00F820AF"/>
    <w:rsid w:val="00F82CCF"/>
    <w:rsid w:val="00FB3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C56978"/>
  <w15:chartTrackingRefBased/>
  <w15:docId w15:val="{F2CC3591-3851-43B3-A6CE-56532D255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25A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ytuZnak">
    <w:name w:val="Tytuł Znak"/>
    <w:aliases w:val="Znak Znak"/>
    <w:basedOn w:val="Domylnaczcionkaakapitu"/>
    <w:link w:val="Tytu"/>
    <w:locked/>
    <w:rsid w:val="00925A70"/>
    <w:rPr>
      <w:rFonts w:ascii="Garamond" w:hAnsi="Garamond"/>
      <w:b/>
      <w:bCs/>
      <w:sz w:val="24"/>
      <w:szCs w:val="24"/>
      <w:lang w:val="x-none" w:eastAsia="x-none"/>
    </w:rPr>
  </w:style>
  <w:style w:type="paragraph" w:styleId="Tytu">
    <w:name w:val="Title"/>
    <w:aliases w:val="Znak"/>
    <w:basedOn w:val="Normalny"/>
    <w:link w:val="TytuZnak"/>
    <w:qFormat/>
    <w:rsid w:val="00925A70"/>
    <w:pPr>
      <w:overflowPunct w:val="0"/>
      <w:autoSpaceDE w:val="0"/>
      <w:autoSpaceDN w:val="0"/>
      <w:adjustRightInd w:val="0"/>
      <w:jc w:val="center"/>
    </w:pPr>
    <w:rPr>
      <w:rFonts w:ascii="Garamond" w:eastAsiaTheme="minorHAnsi" w:hAnsi="Garamond" w:cstheme="minorBidi"/>
      <w:b/>
      <w:bCs/>
      <w:lang w:val="x-none" w:eastAsia="x-none"/>
    </w:rPr>
  </w:style>
  <w:style w:type="character" w:customStyle="1" w:styleId="TytuZnak1">
    <w:name w:val="Tytuł Znak1"/>
    <w:basedOn w:val="Domylnaczcionkaakapitu"/>
    <w:uiPriority w:val="10"/>
    <w:rsid w:val="00925A70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925A70"/>
    <w:pPr>
      <w:jc w:val="center"/>
    </w:pPr>
    <w:rPr>
      <w:rFonts w:ascii="Verdana" w:eastAsia="Batang" w:hAnsi="Verdana"/>
      <w:smallCaps/>
      <w:sz w:val="32"/>
      <w:szCs w:val="32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25A70"/>
    <w:rPr>
      <w:rFonts w:ascii="Verdana" w:eastAsia="Batang" w:hAnsi="Verdana" w:cs="Times New Roman"/>
      <w:smallCaps/>
      <w:sz w:val="32"/>
      <w:szCs w:val="32"/>
      <w:lang w:val="x-none" w:eastAsia="x-none"/>
    </w:rPr>
  </w:style>
  <w:style w:type="paragraph" w:styleId="Akapitzlist">
    <w:name w:val="List Paragraph"/>
    <w:basedOn w:val="Normalny"/>
    <w:uiPriority w:val="34"/>
    <w:qFormat/>
    <w:rsid w:val="00925A70"/>
    <w:pPr>
      <w:suppressAutoHyphens/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925A70"/>
    <w:pPr>
      <w:suppressAutoHyphens/>
      <w:spacing w:after="0" w:line="240" w:lineRule="auto"/>
    </w:pPr>
    <w:rPr>
      <w:sz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D4E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4E7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D4E7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D4E7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4369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58">
    <w:name w:val="Font Style58"/>
    <w:rsid w:val="007D77F2"/>
    <w:rPr>
      <w:rFonts w:ascii="Times New Roman" w:hAnsi="Times New Roman"/>
      <w:sz w:val="16"/>
    </w:rPr>
  </w:style>
  <w:style w:type="paragraph" w:customStyle="1" w:styleId="Style10">
    <w:name w:val="Style10"/>
    <w:basedOn w:val="Normalny"/>
    <w:rsid w:val="005A3C56"/>
    <w:pPr>
      <w:widowControl w:val="0"/>
      <w:autoSpaceDE w:val="0"/>
      <w:autoSpaceDN w:val="0"/>
      <w:adjustRightInd w:val="0"/>
      <w:jc w:val="center"/>
    </w:pPr>
    <w:rPr>
      <w:rFonts w:ascii="Trebuchet MS" w:hAnsi="Trebuchet MS"/>
    </w:rPr>
  </w:style>
  <w:style w:type="paragraph" w:customStyle="1" w:styleId="Default">
    <w:name w:val="Default"/>
    <w:rsid w:val="0020007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30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0A3945-3152-4F5E-AE60-F52E28401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2879</Words>
  <Characters>17276</Characters>
  <Application>Microsoft Office Word</Application>
  <DocSecurity>0</DocSecurity>
  <Lines>143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Kierownik Zamówień Pub.</dc:creator>
  <cp:keywords/>
  <dc:description/>
  <cp:lastModifiedBy>Kierownik Zamówień Pub.</cp:lastModifiedBy>
  <cp:revision>4</cp:revision>
  <cp:lastPrinted>2026-08-14T05:14:00Z</cp:lastPrinted>
  <dcterms:created xsi:type="dcterms:W3CDTF">2026-08-14T05:15:00Z</dcterms:created>
  <dcterms:modified xsi:type="dcterms:W3CDTF">2026-09-01T09:25:00Z</dcterms:modified>
</cp:coreProperties>
</file>