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F32488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F32488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F32488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F3248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F32488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07142D"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6</w:t>
      </w:r>
    </w:p>
    <w:p w:rsidR="00925A70" w:rsidRPr="00F32488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A35676" w:rsidRDefault="00925A70" w:rsidP="00A35676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F32488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F32488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F32488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F32488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F32488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="00D03B3A" w:rsidRPr="00F32488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="00E140E0" w:rsidRPr="00F32488">
        <w:rPr>
          <w:rFonts w:asciiTheme="majorHAnsi" w:eastAsia="Calibri" w:hAnsiTheme="majorHAnsi" w:cstheme="majorHAnsi"/>
          <w:bCs w:val="0"/>
          <w:sz w:val="22"/>
          <w:szCs w:val="22"/>
          <w:lang w:eastAsia="ar-SA"/>
        </w:rPr>
        <w:t>„Poprawa dostępności oraz jakości lecznictwa onkologicznego w woj. podkarpackim przez rozbudowę, modernizację i doposażenie Szpitala Specjalistycznego w Brzozowie Podkarpackiego Ośrodka Onkologicznego – zadanie nr. 3 pn. „Doposażenie komórek organizacyjnych Podkarpackiego Ośrodka Onkologicznego”</w:t>
      </w:r>
      <w:r w:rsidR="00E140E0" w:rsidRPr="00F32488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</w:t>
      </w:r>
      <w:r w:rsidRPr="00F32488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F32488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F32488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F32488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F3248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F32488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F32488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65F" w:rsidRPr="00F32488" w:rsidRDefault="00D8265F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Aparat USG</w:t>
            </w:r>
          </w:p>
          <w:p w:rsidR="00925A70" w:rsidRPr="00F3248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F3248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F3248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F3248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A35676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</w:t>
            </w: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………………………</w:t>
            </w:r>
          </w:p>
          <w:p w:rsidR="00B75B91" w:rsidRPr="00B75B91" w:rsidRDefault="00B75B91" w:rsidP="00B75B91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F3248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F32488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F32488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F32488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F32488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F32488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F32488" w:rsidRDefault="00E140E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F3248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F3248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F3248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F3248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F3248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F32488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F32488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F3248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F3248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F3248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F3248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F32488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F32488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F32488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F32488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F32488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F3248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F3248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F32488">
        <w:rPr>
          <w:rFonts w:asciiTheme="majorHAnsi" w:hAnsiTheme="majorHAnsi" w:cstheme="majorHAnsi"/>
          <w:b/>
          <w:sz w:val="22"/>
          <w:szCs w:val="22"/>
        </w:rPr>
        <w:lastRenderedPageBreak/>
        <w:t>Termin dostawy:</w:t>
      </w:r>
      <w:r w:rsidRPr="00F32488">
        <w:rPr>
          <w:rFonts w:asciiTheme="majorHAnsi" w:hAnsiTheme="majorHAnsi" w:cstheme="majorHAnsi"/>
          <w:sz w:val="22"/>
          <w:szCs w:val="22"/>
        </w:rPr>
        <w:t xml:space="preserve"> </w:t>
      </w:r>
      <w:r w:rsidR="00A35676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F3248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F3248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F32488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F32488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F3248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F3248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F32488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F32488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AA0D63" w:rsidRPr="00F32488" w:rsidRDefault="00AA0D63" w:rsidP="00A35676">
      <w:pPr>
        <w:rPr>
          <w:rFonts w:asciiTheme="majorHAnsi" w:hAnsiTheme="majorHAnsi" w:cstheme="majorHAnsi"/>
          <w:sz w:val="22"/>
          <w:szCs w:val="22"/>
        </w:rPr>
      </w:pPr>
    </w:p>
    <w:p w:rsidR="00AA0D63" w:rsidRPr="00F32488" w:rsidRDefault="00AA0D63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F32488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F3248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F32488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F32488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F32488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07142D" w:rsidRPr="00F32488">
        <w:rPr>
          <w:rFonts w:asciiTheme="majorHAnsi" w:eastAsia="Calibri" w:hAnsiTheme="majorHAnsi" w:cstheme="majorHAnsi"/>
          <w:b/>
          <w:sz w:val="22"/>
          <w:szCs w:val="22"/>
        </w:rPr>
        <w:t>6</w:t>
      </w:r>
    </w:p>
    <w:p w:rsidR="00925A70" w:rsidRPr="00A35676" w:rsidRDefault="00925A70" w:rsidP="00A35676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F32488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F32488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F32488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F32488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F32488" w:rsidRDefault="00925A70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F32488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F32488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F32488" w:rsidRDefault="00AE2422" w:rsidP="00F3248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APARAT USG – 1 SZT.</w:t>
            </w: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Kliniczny, cyfrowy, aparat ultrasonograficzny klasy Premium z kolorowym Dopplerem.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Przetwornik cyfrowy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min. 14-bitowy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Zakres częstotliwości min. 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1,0 – 22,0 MHz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Waga aparatu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max. 126 kg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Dynamika systemu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min. 382 </w:t>
            </w:r>
            <w:proofErr w:type="spellStart"/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Technologia cyfrowa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Ilość cyfrowych kanałów nadawczo-odbiorczych min. 11 400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 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000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11 400 000 – 0 pkt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&gt;11 400 000 – </w:t>
            </w:r>
            <w:r w:rsidR="00F3248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Ilość fizycznych kanałów przetwarzania 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min. 380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Złącza głowic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bezpinowe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Ilość niezależnych gniazd obrazowych przełączanych elektronicznie min. 4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Ilość niezależnych gniazd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nieobrazowych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przełączanych elektronicznie min. 1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Monitor z matrycą LCD, wielkość ekranu o przekątnej min. 23,5”</w:t>
            </w:r>
          </w:p>
        </w:tc>
        <w:tc>
          <w:tcPr>
            <w:tcW w:w="2128" w:type="dxa"/>
            <w:vAlign w:val="center"/>
          </w:tcPr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23,5” – 0 pkt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&gt;23,5” – </w:t>
            </w:r>
            <w:r w:rsidR="00F3248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Możliwość regulacji położenia monitora niezależnie od panelu sterowania.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Możliwość regulacji położenia  panelu sterowania min. +/- 90 stopni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Możliwość nagrywania i odtwarzania dynamicznego obrazów (tzw.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Cine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loop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Zintegrowany z aparatem systemu archiwizacji obrazów na dysku twardym z możliwością eksportowania na nośniki przenośne.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Transmisja danych i obrazów w sieci komputerowej wg standardu DICOM 3.0 (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Dicom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Storage,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Print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Worklist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) z możliwością połączenia przez łącze bezprzewodowe Wi-Fi, wraz z możliwością tworzenia raportów strukturalnych (SR) w aplikacjach: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Vascular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, OB./GYN,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Cardiac</w:t>
            </w:r>
            <w:proofErr w:type="spellEnd"/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Panel sterowania z regulacją wysokości min. 22 cm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Zintegrowany dysk lub dyski SSD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łącznie min. 1,5 TB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Ekran dotykowy Full HD umożliwiający obsługę aparatu o przekątnej min. 13”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13” – 0 pkt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&gt; 13” – </w:t>
            </w:r>
            <w:r w:rsidR="00F3248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Możliwość regulacji kąta nachylenia panelu dotykowego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TAK/NIE</w:t>
            </w:r>
          </w:p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Tak – </w:t>
            </w:r>
            <w:r w:rsidR="00F3248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pkt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Nie – 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Możliwość przełączania głowic na ekranie dotykowym oraz za pomocą gestu np. dwukrotne stuknięcie w głowicę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Klawiatura alfanumeryczna wysuwana spod panelu sterowania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Podstawa jezdna z czterema obrotowymi kołami z możliwością blokowania każdego z kół oraz blokadą kierunku jazdy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Dedykowany, wbudowany w aparat podgrzewacz żelu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Drukarka termiczna (video) czarno – biała</w:t>
            </w:r>
          </w:p>
        </w:tc>
        <w:tc>
          <w:tcPr>
            <w:tcW w:w="2128" w:type="dxa"/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</w:t>
            </w:r>
            <w:r w:rsidR="00F04106" w:rsidRPr="00F32488">
              <w:rPr>
                <w:rFonts w:asciiTheme="majorHAnsi" w:hAnsiTheme="majorHAnsi" w:cstheme="majorHAnsi"/>
                <w:sz w:val="22"/>
                <w:szCs w:val="22"/>
              </w:rPr>
              <w:t>odać typ i producenta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Nagrywarka DVD zintegrowana z aparatem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Fabrycznie zainstalowane zasilanie pozwalające na wprowadzenie systemu w stan uśpienia, a następnie wybudzenie go w czasie max 30 sek.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Ilość manipulatorów takich jak: przyciski, potencjometry, suwaki umieszczonych na konsoli aparatu ograniczona do maksymalnie 30 sztuk z wyłączeniem suwaków TGC (maksymalnie 8 sztuk)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Tryb przeglądania umożliwiający przenoszenie zarchiwizowanych danych obrazowych pacjenta do aparatu USG (poprzez zewnętrzny dysk twardy HDD, pamięć typu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flash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USB, płyta CD/DVD, sieć PACS) uzyskanych w innych technikach diagnostyki obrazowej: z tomografii komputerowej CT, rezonansu magnetycznego MRI, mammografu, innego aparatu USG i jednoczesnym wyświetlaniu obok w czasie rzeczywistym obrazu USG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Fabrycznie zintegrowane oprogramowanie umożliwiające nagrywanie badania w czasie rzeczywistym na zewnętrzny nośnik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Obrazowanie panoramiczne z Dopplerem w czasie rzeczywistym z możliwością cofnięcia w czasie akwizycji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Funkcja zaawansowanej wizualizacji igły umożliwia zaawansowane formatowanie obrazu poprawiające obrazowanie igły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Funkcja umożliwiająca obrazowanie mniejszych naczyń o wolnym przepływie na większej głębokości w tkance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Poziom hałasu włączonego systemu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max. 39 </w:t>
            </w:r>
            <w:proofErr w:type="spellStart"/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8" w:type="dxa"/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Porty USB 3.0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w ilości minimum 4 sztuki </w:t>
            </w:r>
          </w:p>
        </w:tc>
        <w:tc>
          <w:tcPr>
            <w:tcW w:w="2128" w:type="dxa"/>
            <w:vAlign w:val="center"/>
          </w:tcPr>
          <w:p w:rsidR="00F04106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Wbudowana karta sieciowa Ethernet 10/100/1000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Mbps</w:t>
            </w:r>
            <w:proofErr w:type="spellEnd"/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AE242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Tryb 2D (B-</w:t>
            </w:r>
            <w:proofErr w:type="spellStart"/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mode</w:t>
            </w:r>
            <w:proofErr w:type="spellEnd"/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AE2422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Maksymalna głębokość penetracji min. 54 cm</w:t>
            </w:r>
          </w:p>
        </w:tc>
        <w:tc>
          <w:tcPr>
            <w:tcW w:w="2128" w:type="dxa"/>
            <w:vAlign w:val="center"/>
          </w:tcPr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AE2422" w:rsidRPr="00F32488" w:rsidRDefault="00AE242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Para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metr oceniany: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54 cm – 0 pkt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&gt; 54 cm – </w:t>
            </w:r>
            <w:r w:rsidR="00F3248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FFFFFF"/>
            <w:vAlign w:val="center"/>
          </w:tcPr>
          <w:p w:rsidR="00F04106" w:rsidRPr="00F32488" w:rsidRDefault="00F04106" w:rsidP="00F0410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Powiększanie zamrożonych obrazów, obrazów w trybie sekwencji filmowej (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cine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) lub obrazów w czasie rzeczywistym oraz obrazów z archiwum</w:t>
            </w:r>
          </w:p>
        </w:tc>
        <w:tc>
          <w:tcPr>
            <w:tcW w:w="2128" w:type="dxa"/>
            <w:shd w:val="clear" w:color="auto" w:fill="FFFFFF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Zapis sekwencji filmowej (CINE) min. 330 sekund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Zapis obrazów w pamięci dynamicznej min. 80 000 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Dynamiczne ogniskowanie nadawania w całym zakresie głębokości jednocześnie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Zastosowanie technologii automatycznie optymalizującej obraz w trybie B oraz parametry Dopplera pulsacyjnego za pomocą jednego przycisku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Zastosowanie technologii automatycznie optymalizującej w sposób ciągły obraz w trybie B oraz parametry Dopplera pulsacyjnego za pomocą jednego przycisku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Zastosowanie technologii obrazowania „nakładanego” przestrzennego wielokierunkowego (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compounding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Zastosowanie technologii pozwalającej na otrzymanie min. 5 obrazów o zróżnicowanym kontraście i różnych parametrach obrazowych</w:t>
            </w:r>
          </w:p>
        </w:tc>
        <w:tc>
          <w:tcPr>
            <w:tcW w:w="2128" w:type="dxa"/>
            <w:vAlign w:val="center"/>
          </w:tcPr>
          <w:p w:rsidR="00EF5283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EF5283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5 obrazów – 0 pkt</w:t>
            </w:r>
          </w:p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&gt; 5 obrazów – 10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Zastosowanie technologii eliminującej efekt przepływu w naczyniach celem optymalizacji wizualizacji naczyń</w:t>
            </w:r>
          </w:p>
        </w:tc>
        <w:tc>
          <w:tcPr>
            <w:tcW w:w="2128" w:type="dxa"/>
            <w:shd w:val="clear" w:color="auto" w:fill="FFFFFF" w:themeFill="background1"/>
            <w:vAlign w:val="center"/>
          </w:tcPr>
          <w:p w:rsidR="00F04106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Tryb obrazowania z poprawą rozdzielczości kontrastowej poprzez eliminację szumów plamek obrazów (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speckle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reduction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128" w:type="dxa"/>
            <w:vAlign w:val="center"/>
          </w:tcPr>
          <w:p w:rsidR="00F04106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Regulacja TGC dostępna na panelu sterowania realizowana za pomocą fizycznych suwaków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w ilości minimum 8 sztuk </w:t>
            </w:r>
          </w:p>
        </w:tc>
        <w:tc>
          <w:tcPr>
            <w:tcW w:w="2128" w:type="dxa"/>
            <w:vAlign w:val="center"/>
          </w:tcPr>
          <w:p w:rsidR="00F04106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Tryb M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Anatomiczny tryb M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Tryb spektralny Doppler Pulsacyjny (PWD)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Wielkość bramki Dopplerowskiej 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Od max. 1  do min. 30 mm</w:t>
            </w:r>
          </w:p>
        </w:tc>
        <w:tc>
          <w:tcPr>
            <w:tcW w:w="2128" w:type="dxa"/>
            <w:vAlign w:val="center"/>
          </w:tcPr>
          <w:p w:rsidR="00F04106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Kąt korekcji kąta bramki Dopplerowskiej 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min. 0 - +/- 89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sym w:font="Symbol" w:char="F0B0"/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F04106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Maksymalne rejestrowane prędkości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dopplera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spektralnego przy zerowym kącie bramki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od 0 do min. +/- 15 m/s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F04106" w:rsidRPr="00F32488" w:rsidRDefault="00EF5283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Tryb Spektralny Doppler Tkankowy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Tryb spektralny Doppler Fali Ciągłej (CWD)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AK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Maksymalne rejestrowane prędkości </w:t>
            </w:r>
            <w:proofErr w:type="spellStart"/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dopplera</w:t>
            </w:r>
            <w:proofErr w:type="spellEnd"/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fali ciągłej przy zerowym kącie bramki</w:t>
            </w:r>
            <w:r w:rsidR="00EF5283"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Od 0 do min. +/- 21 m/s</w:t>
            </w:r>
          </w:p>
        </w:tc>
        <w:tc>
          <w:tcPr>
            <w:tcW w:w="2128" w:type="dxa"/>
            <w:vAlign w:val="center"/>
          </w:tcPr>
          <w:p w:rsidR="00F04106" w:rsidRPr="00F32488" w:rsidRDefault="00EF5283" w:rsidP="00AE2422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Cs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Tryb Doppler Kolorowy (CD)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Regulacja uchylności pola Dopplera Kolorowego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Tryb angiologiczny (Doppler mocy)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Doppler mocy (Power Doppler) kierunkowy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Obrazowanie harmoniczne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Obrazowanie harmoniczne na wszystkich zaoferowanych głowicach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</w:pPr>
            <w:proofErr w:type="spellStart"/>
            <w:r w:rsidRPr="00F32488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>Tryb</w:t>
            </w:r>
            <w:proofErr w:type="spellEnd"/>
            <w:r w:rsidRPr="00F32488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 xml:space="preserve"> Triplex (2D + PWD + CD)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EF5283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Oprogramowanie pomiarowe wraz z pakietem obliczeniowym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</w:t>
            </w:r>
            <w:r w:rsidR="00EF5283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494F42" w:rsidRPr="00F32488" w:rsidRDefault="00F04106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Oprogramowanie aplikacyjne i pomiarowe zawierające min.: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="00494F42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brzuszne</w:t>
            </w:r>
          </w:p>
          <w:p w:rsidR="00494F42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małe narządy</w:t>
            </w:r>
          </w:p>
          <w:p w:rsidR="00494F42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naczyniowe</w:t>
            </w:r>
          </w:p>
          <w:p w:rsidR="00494F42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piersi</w:t>
            </w:r>
          </w:p>
          <w:p w:rsidR="00494F42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tarczyca</w:t>
            </w:r>
          </w:p>
          <w:p w:rsidR="00494F42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urologiczne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br/>
              <w:t>- ginekologiczne</w:t>
            </w:r>
          </w:p>
          <w:p w:rsidR="00494F42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kardiologiczne</w:t>
            </w:r>
          </w:p>
          <w:p w:rsidR="00F04106" w:rsidRPr="00F32488" w:rsidRDefault="00494F42" w:rsidP="00494F4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- kardiologiczne pediatryczne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:rsidR="00494F42" w:rsidRPr="00F32488" w:rsidRDefault="00494F42" w:rsidP="00494F4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Pakiet obliczeń automatycznych dla Dopplera (automatyczny obrys spektrum)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Obrazowanie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elastografii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uciskowej typu „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strain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” 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Tryb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elastografii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akustycznej wykorzystujący metodę fali poprzecznej, wraz z pakietem pomiarowym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Zaawansowane oprogramowanie umożliwiające wykonanie serii pomiarów metodą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elastografii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fali poprzecznej. 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Min. 10 pomiarów jednocześnie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Zaawansowana technologia pozwalająca na automatyczne obliczanie frakcji stłuszczenia wątroby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Oprogramowanie umożliwiające wykonanie jednocześnie min. 10 pomiarów metodą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elastografii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fali poprzecznej wraz z jednoczesnym automatycznym obliczeniem frakcji stłuszczenia wątroby uruchamiane jednym przyciskiem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494F4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Głowica liniowa wieloczęstotliwościowa do badań dopplerowskich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TAK, p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odać typ 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i producenta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Zakres częstotliwości pracy przetwornika 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min. 4,0 MHz (+/-0,5MHz) – 18,0 MHz (+/-0,5 MHz)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 xml:space="preserve">TAK,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podać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Długość czoła głowicy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55 mm. (+/- 5mm.)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Liczba elementów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min. 570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Możliwość pracy z przystawką biopsyjną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494F4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Głowica liniowa wieloczęstotliwościowa do badań dopplerowskich i innych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Tak, p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odać typ 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i producenta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Zakres częstotliwości pracy przetwornika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min. 3,0 MHz (+/-0,5MHz) – 15,0 MHz (+/-0,5 MHz)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Długość czoła głowicy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50 mm. (+/- 5mm.)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Liczba elementów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min. 955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Możliwość pracy z przystawką biopsyjną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</w:t>
            </w:r>
            <w:r w:rsidR="00494F42"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494F4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EE0000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Głowica liniowa wieloczęstotliwościowa do badań dopplerowskich i innych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color w:val="EE0000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TAK, p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odać typ 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i producenta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Zakres częstotliwości pracy przetwornika </w:t>
            </w:r>
            <w:r w:rsidR="00494F42"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de-DE"/>
              </w:rPr>
              <w:t>min. 6,0 MHz (+/-0,5MHz) – 22,05MHz (+/-0,5 MHz)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EE0000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Długość czoła głowicy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46 mm. (+/- 5mm.)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EE0000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Liczba elementów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94F42"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min. 256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Możliwość pracy z przystawką biopsyjną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</w:t>
            </w:r>
            <w:r w:rsidR="00494F42"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494F4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Głowica </w:t>
            </w:r>
            <w:proofErr w:type="spellStart"/>
            <w:r w:rsidRPr="00F32488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konweksowa</w:t>
            </w:r>
            <w:proofErr w:type="spellEnd"/>
            <w:r w:rsidRPr="00F32488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 wieloczęstotliwościowa do badań jamy brzusznej. Głowica wykonana w technologii Single </w:t>
            </w:r>
            <w:proofErr w:type="spellStart"/>
            <w:r w:rsidRPr="00F32488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Crystal</w:t>
            </w:r>
            <w:proofErr w:type="spellEnd"/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Tak, p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odać typ </w:t>
            </w:r>
            <w:r w:rsidR="00F04106"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i producenta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Zakres częstotliwości pracy przetwornika 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min. 1,0 – 5,7 MHz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de-DE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 xml:space="preserve">TAK,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  <w:lang w:val="de-DE"/>
              </w:rPr>
              <w:t>podać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Kąt pola skanowania (widzenia) 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>min. 100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sym w:font="Symbol" w:char="F0B0"/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Liczba elementów 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>min. 180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Możliwość pracy z przystawką biopsyjną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94F42" w:rsidRPr="00F32488" w:rsidTr="00966F8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94F42" w:rsidRPr="00F32488" w:rsidRDefault="00494F42" w:rsidP="00494F42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Możliwości rozbudowy systemu </w:t>
            </w: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Tryb pracy ze środkami kontrastującymi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>AK, opisać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Oprogramowanie do szyfrowania danych pacjentów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494F42" w:rsidRPr="00F32488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Aplikacja do automatycznego umieszczania bramki ROI w trybie </w:t>
            </w:r>
            <w:proofErr w:type="spellStart"/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dopplera</w:t>
            </w:r>
            <w:proofErr w:type="spellEnd"/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kolorowego oraz spektralnego. Aplikacja automatycznie wykrywa właściwe miejsce ustawienia bramki w świetle naczynia oraz automatycznie dostosowuje jej kształt oraz kąt w trybie ciągłym.</w:t>
            </w:r>
          </w:p>
        </w:tc>
        <w:tc>
          <w:tcPr>
            <w:tcW w:w="2128" w:type="dxa"/>
            <w:vAlign w:val="center"/>
          </w:tcPr>
          <w:p w:rsidR="00F04106" w:rsidRPr="00F32488" w:rsidRDefault="00494F42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Aplikacja wykorzystująca sztuczną inteligencję do wykrywania określonych obrazów serca trybie 2D min. EF, EDV, ESV, GLS, FAC i określania półautomatycznych konturów komór i przedsionków.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Prezentacja wyników w formie min. tzw. Bull </w:t>
            </w:r>
            <w:proofErr w:type="spellStart"/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Eye</w:t>
            </w:r>
            <w:proofErr w:type="spellEnd"/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oraz </w:t>
            </w:r>
            <w:proofErr w:type="spellStart"/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Strain</w:t>
            </w:r>
            <w:proofErr w:type="spellEnd"/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Segmentacyjny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Nie wymaga podłączenia EKG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Obrazowanie serca w trybie 4D dostępne na głowicy przezprzełykowej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Aplikacja dla oceny w czasie rzeczywistym kluczowych wskaźników klinicznych, wykorzystująca sztuczną inteligencję do wykonywania zautomatyzowanych pomiarów serca.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Obsługuje pomiary kardiologiczne dla obrazowania min. 2D, Tryb M, PW, CW i TDI</w:t>
            </w:r>
          </w:p>
        </w:tc>
        <w:tc>
          <w:tcPr>
            <w:tcW w:w="2128" w:type="dxa"/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Aplikacja bazująca na sztucznej inteligencji (AI) umożliwiająca automatyczne rozpoznanie struktury, zapewniająca klasyfikację widoku w czasie rzeczywistym i wykrywanie punktów orientacyjnych standardowych widoków brzucha. Aplikacja zapewniająca automatyczne etykietowanie dla min. 17 standardowych widoków uzyskanych w badaniu brzucha osoby dorosłej i zapewniająca automatyczne pomiary struktur min. 12 kluczowych pomiarów brzusznych</w:t>
            </w:r>
          </w:p>
        </w:tc>
        <w:tc>
          <w:tcPr>
            <w:tcW w:w="2128" w:type="dxa"/>
            <w:vAlign w:val="center"/>
          </w:tcPr>
          <w:p w:rsidR="00F04106" w:rsidRPr="00F32488" w:rsidRDefault="00F04106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3C2FB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Moduł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Stress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Echo obsługujący min. 7 protokołów m.in. bieżnia,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doputamina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, badania rowerowe i hemodynamiczne. 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Możliwość porównania obrazów podczas badania z obrazami nagranymi w trybie spoczynku</w:t>
            </w:r>
          </w:p>
        </w:tc>
        <w:tc>
          <w:tcPr>
            <w:tcW w:w="2128" w:type="dxa"/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Głowica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microconvex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do badań pediatrycznych, wykonaną w technologii Single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Crystal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pracującą w zakresie częstotliwości min. 2 – 10 MHz, posiadającą min. 192 elementy i kąt skanowania min. 130 stopni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Głowica liniową wykonaną w technologii Single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Crystal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, pracującą w zakresie częstotliwości min. 1,7 – 8 MHz, posiadającą min. 192 elementy, głębokość skanowania min. 200 mm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Głowica przezprzełykowa pracującą w zakresie częstotliwości min. 2,3– 6,8   MHz, głębokość skanowania min. 260 mm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Głowica liniowa tzw. hokejową pracującą w zakresie częstotliwości min. 5,5 – 21 MHz, posiadającą min. 190 elementów, pole skanowania max 28 mm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Możliwość rozbudowy o głowicę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endokawitarną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 wykonaną w technologii Single </w:t>
            </w:r>
            <w:proofErr w:type="spellStart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Crystal</w:t>
            </w:r>
            <w:proofErr w:type="spellEnd"/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, pracującą w zakresie częstotliwości min. 2,7 – 9,8 MHz, posiadającą min. 180 elementy, kąt skanowania minimum 160</w:t>
            </w:r>
            <w:r w:rsidRPr="00F32488">
              <w:rPr>
                <w:rFonts w:asciiTheme="majorHAnsi" w:hAnsiTheme="majorHAnsi" w:cstheme="majorHAnsi"/>
                <w:sz w:val="22"/>
                <w:szCs w:val="22"/>
              </w:rPr>
              <w:sym w:font="Symbol" w:char="F0B0"/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Głowica sektorowa pracującą w zakresie częstotliwości min. 3,4 – 10,3 MHz, posiadającą min. 128 elementów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Głowica sektorowa pracującą w zakresie częstotliwości min. 2,1 – 8,3 MHz, posiadającą min. 128 elementów, głębokość skanowania min. 240 mm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04106" w:rsidRPr="00F32488" w:rsidTr="0093547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106" w:rsidRPr="00F32488" w:rsidRDefault="00F04106" w:rsidP="00F04106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Głowica sektorowa pracującą w zakresie częstotliwości min. 1,1– 4,9   MHz, posiadającą min. 96 elementów, głębokość skanowania min. 300 mm</w:t>
            </w:r>
          </w:p>
          <w:p w:rsidR="00F04106" w:rsidRPr="00F32488" w:rsidRDefault="00F04106" w:rsidP="00F04106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106" w:rsidRPr="00F32488" w:rsidRDefault="00F32488" w:rsidP="00AE2422">
            <w:pPr>
              <w:jc w:val="center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06" w:rsidRPr="00F32488" w:rsidRDefault="00F04106" w:rsidP="00F04106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2488" w:rsidRPr="00F32488" w:rsidTr="00F46A95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2488" w:rsidRPr="00F32488" w:rsidRDefault="00F32488" w:rsidP="00F3248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</w:tr>
      <w:tr w:rsidR="00F32488" w:rsidRPr="00F32488" w:rsidTr="00A45CBC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488" w:rsidRPr="00F32488" w:rsidRDefault="00F32488" w:rsidP="00F3248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488" w:rsidRPr="00F32488" w:rsidRDefault="00F32488" w:rsidP="00F3248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Gwarancja min. 24 miesiące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488" w:rsidRPr="00F32488" w:rsidRDefault="00F32488" w:rsidP="00F3248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TAK, podać</w:t>
            </w:r>
          </w:p>
          <w:p w:rsidR="00F32488" w:rsidRPr="00F32488" w:rsidRDefault="00F32488" w:rsidP="00F3248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Parametr oceniany: </w:t>
            </w:r>
          </w:p>
          <w:p w:rsidR="00F32488" w:rsidRPr="00F32488" w:rsidRDefault="00F32488" w:rsidP="00F32488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F32488" w:rsidRPr="00F32488" w:rsidRDefault="00F32488" w:rsidP="00F32488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F32488" w:rsidRPr="00F32488" w:rsidRDefault="00F32488" w:rsidP="00F32488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32488">
              <w:rPr>
                <w:rFonts w:asciiTheme="majorHAnsi" w:hAnsiTheme="majorHAnsi" w:cstheme="majorHAnsi"/>
                <w:sz w:val="22"/>
                <w:szCs w:val="22"/>
              </w:rPr>
              <w:t xml:space="preserve">48 miesięcy – 20 pkt </w:t>
            </w:r>
          </w:p>
          <w:p w:rsidR="00F32488" w:rsidRPr="00F32488" w:rsidRDefault="00F32488" w:rsidP="00F3248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488" w:rsidRPr="00F32488" w:rsidRDefault="00F32488" w:rsidP="00F3248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F32488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F32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469" w:rsidRDefault="00576469" w:rsidP="000D4E7D">
      <w:r>
        <w:separator/>
      </w:r>
    </w:p>
  </w:endnote>
  <w:endnote w:type="continuationSeparator" w:id="0">
    <w:p w:rsidR="00576469" w:rsidRDefault="00576469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469" w:rsidRDefault="00576469" w:rsidP="000D4E7D">
      <w:r>
        <w:separator/>
      </w:r>
    </w:p>
  </w:footnote>
  <w:footnote w:type="continuationSeparator" w:id="0">
    <w:p w:rsidR="00576469" w:rsidRDefault="00576469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516CF"/>
    <w:rsid w:val="0007142D"/>
    <w:rsid w:val="00087730"/>
    <w:rsid w:val="000D4E7D"/>
    <w:rsid w:val="0010205F"/>
    <w:rsid w:val="0013102C"/>
    <w:rsid w:val="00145DD6"/>
    <w:rsid w:val="00191B55"/>
    <w:rsid w:val="001E08AB"/>
    <w:rsid w:val="0020007B"/>
    <w:rsid w:val="00207081"/>
    <w:rsid w:val="0026721D"/>
    <w:rsid w:val="002C7A9C"/>
    <w:rsid w:val="002D0F79"/>
    <w:rsid w:val="002F52BB"/>
    <w:rsid w:val="00302666"/>
    <w:rsid w:val="003253CB"/>
    <w:rsid w:val="00343A27"/>
    <w:rsid w:val="0035036C"/>
    <w:rsid w:val="00352633"/>
    <w:rsid w:val="00357FAF"/>
    <w:rsid w:val="003B428C"/>
    <w:rsid w:val="003C2FBF"/>
    <w:rsid w:val="003C5407"/>
    <w:rsid w:val="003D203A"/>
    <w:rsid w:val="003F184B"/>
    <w:rsid w:val="004369F3"/>
    <w:rsid w:val="00451A90"/>
    <w:rsid w:val="004541AF"/>
    <w:rsid w:val="00494F42"/>
    <w:rsid w:val="004A3997"/>
    <w:rsid w:val="004D2762"/>
    <w:rsid w:val="004F5166"/>
    <w:rsid w:val="005128B8"/>
    <w:rsid w:val="00542FEA"/>
    <w:rsid w:val="005665F3"/>
    <w:rsid w:val="005747F1"/>
    <w:rsid w:val="00576469"/>
    <w:rsid w:val="005A3C56"/>
    <w:rsid w:val="00601126"/>
    <w:rsid w:val="00637C20"/>
    <w:rsid w:val="00654C9B"/>
    <w:rsid w:val="00686F97"/>
    <w:rsid w:val="006F21AC"/>
    <w:rsid w:val="00720277"/>
    <w:rsid w:val="00731E97"/>
    <w:rsid w:val="00790449"/>
    <w:rsid w:val="007B46BE"/>
    <w:rsid w:val="007D77F2"/>
    <w:rsid w:val="007F0719"/>
    <w:rsid w:val="00823C89"/>
    <w:rsid w:val="008455E7"/>
    <w:rsid w:val="008D7142"/>
    <w:rsid w:val="00925A70"/>
    <w:rsid w:val="00951842"/>
    <w:rsid w:val="00974702"/>
    <w:rsid w:val="00994802"/>
    <w:rsid w:val="009962DC"/>
    <w:rsid w:val="00A35676"/>
    <w:rsid w:val="00A44329"/>
    <w:rsid w:val="00AA0D63"/>
    <w:rsid w:val="00AA3A67"/>
    <w:rsid w:val="00AA5D53"/>
    <w:rsid w:val="00AE2422"/>
    <w:rsid w:val="00B45E4E"/>
    <w:rsid w:val="00B75B91"/>
    <w:rsid w:val="00B97F84"/>
    <w:rsid w:val="00BF460B"/>
    <w:rsid w:val="00BF545E"/>
    <w:rsid w:val="00C17262"/>
    <w:rsid w:val="00C4595A"/>
    <w:rsid w:val="00C45B92"/>
    <w:rsid w:val="00C62B3D"/>
    <w:rsid w:val="00C84415"/>
    <w:rsid w:val="00C91A55"/>
    <w:rsid w:val="00CF1CCC"/>
    <w:rsid w:val="00CF2857"/>
    <w:rsid w:val="00D03B3A"/>
    <w:rsid w:val="00D129F8"/>
    <w:rsid w:val="00D15ED1"/>
    <w:rsid w:val="00D21665"/>
    <w:rsid w:val="00D4717C"/>
    <w:rsid w:val="00D8265F"/>
    <w:rsid w:val="00D90E15"/>
    <w:rsid w:val="00DA7863"/>
    <w:rsid w:val="00DD7B9D"/>
    <w:rsid w:val="00DE28FF"/>
    <w:rsid w:val="00E140E0"/>
    <w:rsid w:val="00E25EC4"/>
    <w:rsid w:val="00E7301D"/>
    <w:rsid w:val="00EA2034"/>
    <w:rsid w:val="00ED4135"/>
    <w:rsid w:val="00EE1528"/>
    <w:rsid w:val="00EF45D2"/>
    <w:rsid w:val="00EF5283"/>
    <w:rsid w:val="00F04106"/>
    <w:rsid w:val="00F240CB"/>
    <w:rsid w:val="00F32488"/>
    <w:rsid w:val="00F5767F"/>
    <w:rsid w:val="00F820AF"/>
    <w:rsid w:val="00F82CCF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1C62B5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Tekstpodstawowy"/>
    <w:link w:val="Nagwek2Znak"/>
    <w:qFormat/>
    <w:rsid w:val="003C2FBF"/>
    <w:pPr>
      <w:keepNext/>
      <w:keepLines/>
      <w:spacing w:before="160" w:after="120"/>
      <w:outlineLvl w:val="1"/>
    </w:pPr>
    <w:rPr>
      <w:rFonts w:ascii="Arial" w:eastAsia="Calibri" w:hAnsi="Arial"/>
      <w:b/>
      <w:i/>
      <w:kern w:val="28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C2FBF"/>
    <w:rPr>
      <w:rFonts w:ascii="Arial" w:eastAsia="Calibri" w:hAnsi="Arial" w:cs="Times New Roman"/>
      <w:b/>
      <w:i/>
      <w:kern w:val="28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56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67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31A5F-3A3E-4B6E-BA71-EDD80B40A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1885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6</cp:revision>
  <cp:lastPrinted>2026-08-04T08:26:00Z</cp:lastPrinted>
  <dcterms:created xsi:type="dcterms:W3CDTF">2026-07-28T09:03:00Z</dcterms:created>
  <dcterms:modified xsi:type="dcterms:W3CDTF">2026-09-01T09:24:00Z</dcterms:modified>
</cp:coreProperties>
</file>