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4F0F69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4F0F69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EB0F4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11</w:t>
      </w:r>
    </w:p>
    <w:p w:rsidR="00925A70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6441DC" w:rsidRDefault="0066382C" w:rsidP="006441DC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</w:pP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W odpowiedzi na ogłoszenie dotyczące udzielenia zamówienia publicznego na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zakup sprzętu medycznego, </w:t>
      </w:r>
      <w:r w:rsidRPr="0066382C">
        <w:rPr>
          <w:rFonts w:asciiTheme="majorHAnsi" w:eastAsia="Calibri" w:hAnsiTheme="majorHAnsi" w:cstheme="majorHAnsi"/>
          <w:bCs/>
          <w:iCs/>
          <w:sz w:val="22"/>
          <w:szCs w:val="22"/>
          <w:lang w:eastAsia="ar-SA"/>
        </w:rPr>
        <w:t xml:space="preserve">w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 ramach zadania inwestycyjnego pod nazwą: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„Poprawa dostępności oraz jakości lecznictwa onkologicznego w woj. podkarpackim przez rozbudowę, modernizację i doposażenie Szpitala Specjalistycznego w Brzozowie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– zadanie nr. </w:t>
      </w:r>
      <w:r w:rsidR="00F368D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3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pn. </w:t>
      </w:r>
      <w:r w:rsidR="00F368D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„</w:t>
      </w:r>
      <w:r w:rsidR="00F368D4" w:rsidRPr="00F368D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Doposażenie komórek organizacyjnych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”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4F0F69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4F0F69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F368D4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Aparat do izolacji DNA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6441D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F368D4">
              <w:rPr>
                <w:rFonts w:asciiTheme="majorHAnsi" w:eastAsia="Calibri" w:hAnsiTheme="majorHAnsi" w:cstheme="majorHAnsi"/>
                <w:sz w:val="22"/>
                <w:szCs w:val="22"/>
              </w:rPr>
              <w:t>5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4F0F69" w:rsidRDefault="00925A70" w:rsidP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4F0F69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4F0F69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4F0F69">
        <w:rPr>
          <w:rFonts w:asciiTheme="majorHAnsi" w:hAnsiTheme="majorHAnsi" w:cstheme="majorHAnsi"/>
          <w:sz w:val="22"/>
          <w:szCs w:val="22"/>
        </w:rPr>
        <w:t xml:space="preserve"> </w:t>
      </w:r>
      <w:r w:rsidR="006441DC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4F0F69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4F0F69" w:rsidRDefault="00925A70" w:rsidP="006441DC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4F0F69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4F0F69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EB0F45">
        <w:rPr>
          <w:rFonts w:asciiTheme="majorHAnsi" w:eastAsia="Calibri" w:hAnsiTheme="majorHAnsi" w:cstheme="majorHAnsi"/>
          <w:b/>
          <w:sz w:val="22"/>
          <w:szCs w:val="22"/>
        </w:rPr>
        <w:t>11</w:t>
      </w:r>
    </w:p>
    <w:p w:rsidR="00925A70" w:rsidRPr="006441DC" w:rsidRDefault="00925A70" w:rsidP="006441DC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F0F69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4F0F69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4F0F69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4F0F69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4F0F69" w:rsidRDefault="00F368D4" w:rsidP="0033637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APARAT DO IZOLACJI DNA</w:t>
            </w:r>
            <w:r w:rsidR="00C84415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="00497BFA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Automatyczna stacja umożliwiająca prowadzenie izolacji DNA oraz przygotowanie mieszanin reakcyjnych w procedurach technik molekularnych, służąca do pipetowania cieczy w zakresie od 0,2 µl do 1 ml, jedno- i ośmio-kanałowo (w zależności od użytej głowicy), oraz 1-1000  µl z użyciem głowic cztero-kanałowych.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Oznakowanie znakiem CE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6 pozycji ANSI/SLAS na blacie roboczym dla płytek, akcesoriów oraz końcówek i nieograniczone pozycje wirtualne pozwalające na zaprogramowanie dodatkowych etapów pracy robota.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Pipetowanie możliwe do oraz z naczyń znajdujących się we wszystkich 6 pozycjach w tym z/do pozycji </w:t>
            </w:r>
            <w:proofErr w:type="spellStart"/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termomiksera</w:t>
            </w:r>
            <w:proofErr w:type="spellEnd"/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Sterowanie stacji za pomocą dotykowego komputera (przekątna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minimum 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15 cal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) z wbudowanym oprogramowaniem, wyposażone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go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 w 5 portów USB, pozwalającego na podłączenie myszki, klawiatury oraz pamięci USB umożliwiającej transfer danych.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Stacja wyposażona w czujnik optyczny, niewymagający materiałów zużywalnych, pozwalający na bezkontaktowe rozpoznawanie: rodzaju i pozycji akcesoriów, liczby i rodzaju końcówek w statywie, położenia menisków cieczy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Oprogramowanie umożliwiające samodzielne tworzenie protokołów oraz optymalizację procedur typu drag and drop, a także import transferów cieczy lub objętości za pomocą plików typu CSV. Możliwość symulacji 3-D zaprogramowanego protokołu. Możliwość dodawania przez użytkowników dodatkowych plików dostosowujących urządzenie do pracy z różnymi typami płytek, probówek oraz akcesoriów używanych podczas procedur. Oprogramowanie zawiera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 pakiet startowy definicji najbardziej popularnych materiałów eksploatacyjnych. Oprogramowanie umożliwia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 stosowanie stacji do procedur: izolacji DNA, przygotowania bibliotek do sekwencjonowania NGS.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Oprogramowanie zawiera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 predefiniowane klasy cieczy także inne niż woda aby ułatwić programowanie stacji i optymalizację jej działania. Umożliwia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 także zdeklarowanie wysokości pobierania i oddawania płynu wewnątrz naczynia z możliwością nauki wysokości powierzchni dna.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Oprogramowanie ma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 xml:space="preserve"> wbudowane zarządzanie uprawnieniami użytkowników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368D4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368D4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368D4">
              <w:rPr>
                <w:rFonts w:asciiTheme="majorHAnsi" w:hAnsiTheme="majorHAnsi" w:cstheme="majorHAnsi"/>
                <w:sz w:val="22"/>
                <w:szCs w:val="22"/>
              </w:rPr>
              <w:t>Możliwość pracy z probówkami od 0.1 ml do 50 ml objętości oraz z płytkami typu mikro i PCR do 384 dołków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Możliwość ustawiania płytek oraz końcówek w stosy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Widoczny z daleka wskaźnik kolorystyczny (listwa LED) pokazujący aktualny status urządzenia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Wbudowany pojemnik z rynną na odpady płynne oraz stelaż na worki jednorazowe do odbioru odpadków stałych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Wbudowana szuflada umożliwiająca przechowywanie m. in. Instrukcji obsługi, akcesoriów czy końcówek wewnątrz stacji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Pipetowanie w oparciu o system poduszki powietrznej, ze swobodnym zrzutem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Możliwość pipetowania kontaktowego: przy kontakcie z lustrem cieczy lub dnem naczynia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Dokładność ruchu ramienia stacji +/- 0,3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Stacja pipetująca zabezpieczona pełną zabudową (po bokach, z tyłu, z góry i z dołu). Otwierana pokrywa przednia, wyposażona w mechanizm bezpieczeństwa zatrzymuje pracę stacji, co zapewnia maksymalne bezpieczeństwo pracy użytkowników oraz chroni stację roboczą przed kurzem i zanieczyszczeniem z zewnątrz.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Stacja wyposażona w wysoko precyzyjne przyrządy do pipetowania nadające się do sterylizacji w autoklawie przy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minimum </w:t>
            </w: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°C, 100 </w:t>
            </w:r>
            <w:proofErr w:type="spellStart"/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kPa</w:t>
            </w:r>
            <w:proofErr w:type="spellEnd"/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, 20 min.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Możliwość samodzielnego montażu i wymiany narzędzi pipetujących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Stacja samodzielnie posługuj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ąca</w:t>
            </w: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 się narzędziami automatycznie zmieniając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 je zgodnie z zadanym protokołem.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Narzędzia pipetujące posiadają możliwość </w:t>
            </w:r>
            <w:proofErr w:type="spellStart"/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rekalibracji</w:t>
            </w:r>
            <w:proofErr w:type="spellEnd"/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 opartej o ISO 23783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Możliwość używania końcówek z filtrem i bez filtra w tym samym protokole.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56187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Wbudowany </w:t>
            </w:r>
            <w:proofErr w:type="spellStart"/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termomikser</w:t>
            </w:r>
            <w:proofErr w:type="spellEnd"/>
            <w:r w:rsidRPr="00F5618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o zakresie </w:t>
            </w:r>
            <w:r w:rsidRPr="00F56187">
              <w:rPr>
                <w:rFonts w:asciiTheme="majorHAnsi" w:hAnsiTheme="majorHAnsi" w:cstheme="majorHAnsi"/>
                <w:sz w:val="22"/>
                <w:szCs w:val="22"/>
              </w:rPr>
              <w:t>300-2000rpm, o średnicy orbity 3mm, termostatujący w zakresie temperatur 4-95°C (nie chłodzący bardziej niż 15°C poniżej temperatury otoczenia), nagrzewający się 5°C/min, chłodzenia 3°C/min (powyżej temp otoczenia)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56187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E7233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Instalacja kwalifikacyjna urządzenia przez autoryzowany serwis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E7233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Wsparcie aplikacyjne w czasie użytkowania stacji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E7233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Szkolenie z obsługi stacji i oprogramowania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Możliwość przenoszenia protokołów między stacjami tego samego producenta.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Wymiary urządzenia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maksymalnie:</w:t>
            </w: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70</w:t>
            </w: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cm szerokość x 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cm głębokość x 8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cm wysokość,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Zasilanie 230V / 50 </w:t>
            </w:r>
            <w:proofErr w:type="spellStart"/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7233F" w:rsidRPr="004F0F69" w:rsidTr="00D855E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233F" w:rsidRPr="00E7233F" w:rsidRDefault="00E7233F" w:rsidP="00E7233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Wyposażenie dodatkowe </w:t>
            </w: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Skalibrowane głowice pipetujące jednokanałowe, o zakresach objętości: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1 – 50 µl , 20 – 300 µl</w:t>
            </w:r>
            <w:r w:rsidR="007B6B94">
              <w:rPr>
                <w:rFonts w:asciiTheme="majorHAnsi" w:hAnsiTheme="majorHAnsi" w:cstheme="majorHAnsi"/>
                <w:sz w:val="22"/>
                <w:szCs w:val="22"/>
              </w:rPr>
              <w:t>, 0,2</w:t>
            </w:r>
            <w:r w:rsidR="007B6B94"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7B6B94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="007B6B94"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µl  </w:t>
            </w: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Skalibrowane głowice pipetujące ośmiokanałowe, o zakresach objętości: 20 – 300 µl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Statyw na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minimum</w:t>
            </w: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7 rynien lub 7 różnych adapterów do probówek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E7233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Moduł NGS kompatybilny z w/w statywem umożliwiający jednoczesne użycie m.in. probówek 5ml, 1,5ml i 2 ml w jednej pozycji roboczej.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Termoadapter</w:t>
            </w:r>
            <w:proofErr w:type="spellEnd"/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do płytek PCR 96 dołkowych umożliwiający wydajny transfer temperatury do inkubowanych próbek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Zestaw startowy kompatybilnych materiałów niezbędnych do rozpoczęcia pracy (probówki 1,5ml i 5ml, płytki PCR, pudełka i końcówki kompatybilne z głowicami pipetującymi, rynny 30 ml na odczynniki)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Chwytak do przenoszenia akcesoriów, płytek oraz końcówek po blacie roboczym.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Termoblok</w:t>
            </w:r>
            <w:proofErr w:type="spellEnd"/>
            <w:r w:rsidRPr="00E7233F">
              <w:rPr>
                <w:rFonts w:asciiTheme="majorHAnsi" w:hAnsiTheme="majorHAnsi" w:cstheme="majorHAnsi"/>
                <w:sz w:val="22"/>
                <w:szCs w:val="22"/>
              </w:rPr>
              <w:t xml:space="preserve"> do płytek PCR 96 dołkowych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Dodatkowe torby na odpady stałe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Statyw magnetyczny pozwalający na separację magnetyczną z użyciem płytki 96 dołkowej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Dodatkowe oprogramowanie do normalizacji (rozcieńczania DNA/RNA do określonego stężenia) na podstawie pliku wsadowego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Dodatkowe oprogramowanie pozwalające na automatyczną zmianę narzędzia jedno i ośmiokanałowego w zależności od ilości prób, rozpoczynanie protokołu od dowolnego wiersza i dowolnej próby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4F0F69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7233F">
              <w:rPr>
                <w:rFonts w:asciiTheme="majorHAnsi" w:hAnsiTheme="majorHAnsi" w:cstheme="majorHAnsi"/>
                <w:sz w:val="22"/>
                <w:szCs w:val="22"/>
              </w:rPr>
              <w:t>Instrukcja obsługi w języku angielskim i polskim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7B6B94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64442B" w:rsidRDefault="000E208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bookmarkStart w:id="0" w:name="_Hlk235084144"/>
            <w:r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Moduł </w:t>
            </w:r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do podawania próbek i reagentów do PCR, miejsce na 48 x probówka w PCR 0,2 </w:t>
            </w:r>
            <w:proofErr w:type="spellStart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>mL</w:t>
            </w:r>
            <w:proofErr w:type="spellEnd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, zawiera 2 x adapter do pasków 0,2 </w:t>
            </w:r>
            <w:proofErr w:type="spellStart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>mL</w:t>
            </w:r>
            <w:proofErr w:type="spellEnd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, (alternatywnie wystarczająca ilość miejsca na 16 probówka indeksowa i maks. 32 x probówka do PCR 0,2 </w:t>
            </w:r>
            <w:proofErr w:type="spellStart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>mL</w:t>
            </w:r>
            <w:proofErr w:type="spellEnd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), 12 x </w:t>
            </w:r>
            <w:proofErr w:type="spellStart"/>
            <w:r w:rsidRPr="000E208F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>ppendorf</w:t>
            </w:r>
            <w:proofErr w:type="spellEnd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0E208F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>ubes</w:t>
            </w:r>
            <w:proofErr w:type="spellEnd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 1,5/2,0 </w:t>
            </w:r>
            <w:proofErr w:type="spellStart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>mL</w:t>
            </w:r>
            <w:proofErr w:type="spellEnd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 xml:space="preserve">, 1 x probówka 5,0 </w:t>
            </w:r>
            <w:proofErr w:type="spellStart"/>
            <w:r w:rsidR="00E7233F" w:rsidRPr="000E208F">
              <w:rPr>
                <w:rFonts w:asciiTheme="majorHAnsi" w:hAnsiTheme="majorHAnsi" w:cstheme="majorHAnsi"/>
                <w:sz w:val="22"/>
                <w:szCs w:val="22"/>
              </w:rPr>
              <w:t>mL</w:t>
            </w:r>
            <w:bookmarkEnd w:id="0"/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7B6B94" w:rsidRDefault="000E208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4F0F69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64442B" w:rsidRDefault="00E7233F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4442B">
              <w:rPr>
                <w:rFonts w:asciiTheme="majorHAnsi" w:hAnsiTheme="majorHAnsi" w:cstheme="majorHAnsi"/>
                <w:sz w:val="22"/>
                <w:szCs w:val="22"/>
              </w:rPr>
              <w:t xml:space="preserve">Statyw umożliwiający ustawienie 2x96 </w:t>
            </w:r>
            <w:proofErr w:type="spellStart"/>
            <w:r w:rsidRPr="0064442B">
              <w:rPr>
                <w:rFonts w:asciiTheme="majorHAnsi" w:hAnsiTheme="majorHAnsi" w:cstheme="majorHAnsi"/>
                <w:sz w:val="22"/>
                <w:szCs w:val="22"/>
              </w:rPr>
              <w:t>TIPSów</w:t>
            </w:r>
            <w:proofErr w:type="spellEnd"/>
            <w:r w:rsidRPr="0064442B">
              <w:rPr>
                <w:rFonts w:asciiTheme="majorHAnsi" w:hAnsiTheme="majorHAnsi" w:cstheme="majorHAnsi"/>
                <w:sz w:val="22"/>
                <w:szCs w:val="22"/>
              </w:rPr>
              <w:t xml:space="preserve"> w jednej pozycji stacji.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4F0F69" w:rsidRDefault="000E208F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4F0F69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bookmarkStart w:id="1" w:name="_GoBack"/>
            <w:bookmarkEnd w:id="1"/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C9464F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464F" w:rsidRPr="004F0F69" w:rsidRDefault="00C9464F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64F" w:rsidRPr="004F0F69" w:rsidRDefault="00C9464F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>Wykonawca zobowiązuje się do przeprowadzania nieodpłatnych przeglądów okresowych przedmiotu umowy przez okres co najmniej 24 miesięcy, licząc od dnia podpisania protokołu odbioru końcowego bez zastrzeżeń</w:t>
            </w:r>
          </w:p>
        </w:tc>
        <w:tc>
          <w:tcPr>
            <w:tcW w:w="2128" w:type="dxa"/>
            <w:vAlign w:val="center"/>
          </w:tcPr>
          <w:p w:rsidR="00C9464F" w:rsidRPr="00C9464F" w:rsidRDefault="00C9464F" w:rsidP="00C9464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9464F" w:rsidRPr="00C9464F" w:rsidRDefault="00C9464F" w:rsidP="00C9464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9464F" w:rsidRPr="00C9464F" w:rsidRDefault="00C9464F" w:rsidP="00C9464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24</w:t>
            </w: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 xml:space="preserve"> miesi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ące</w:t>
            </w: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C9464F" w:rsidRPr="00C9464F" w:rsidRDefault="00C9464F" w:rsidP="00C9464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36</w:t>
            </w: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 xml:space="preserve"> mies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ięcy</w:t>
            </w: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>– 20 pkt</w:t>
            </w:r>
          </w:p>
          <w:p w:rsidR="00C9464F" w:rsidRPr="004F0F69" w:rsidRDefault="00C9464F" w:rsidP="00C9464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48</w:t>
            </w:r>
            <w:r w:rsidRPr="00C9464F">
              <w:rPr>
                <w:rFonts w:asciiTheme="majorHAnsi" w:hAnsiTheme="majorHAnsi" w:cstheme="majorHAnsi"/>
                <w:sz w:val="22"/>
                <w:szCs w:val="22"/>
              </w:rPr>
              <w:t xml:space="preserve"> miesięcy – 40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64F" w:rsidRPr="004F0F69" w:rsidRDefault="00C9464F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Okres gwarancji</w:t>
            </w:r>
            <w:r w:rsidR="00D518E1">
              <w:rPr>
                <w:rFonts w:asciiTheme="majorHAnsi" w:hAnsiTheme="majorHAnsi" w:cstheme="majorHAnsi"/>
                <w:sz w:val="22"/>
                <w:szCs w:val="22"/>
              </w:rPr>
              <w:t xml:space="preserve"> na sprzęt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– minimum </w:t>
            </w:r>
            <w:r w:rsidR="00B9635F"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 miesi</w:t>
            </w:r>
            <w:r w:rsidR="00B9635F">
              <w:rPr>
                <w:rFonts w:asciiTheme="majorHAnsi" w:hAnsiTheme="majorHAnsi" w:cstheme="majorHAnsi"/>
                <w:sz w:val="22"/>
                <w:szCs w:val="22"/>
              </w:rPr>
              <w:t>ęcy</w:t>
            </w:r>
          </w:p>
        </w:tc>
        <w:tc>
          <w:tcPr>
            <w:tcW w:w="2128" w:type="dxa"/>
            <w:vAlign w:val="center"/>
          </w:tcPr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F0F69" w:rsidRPr="004F0F69" w:rsidRDefault="004F0F69" w:rsidP="00C9464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4F0F69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4F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2D9" w:rsidRDefault="007952D9" w:rsidP="000D4E7D">
      <w:r>
        <w:separator/>
      </w:r>
    </w:p>
  </w:endnote>
  <w:endnote w:type="continuationSeparator" w:id="0">
    <w:p w:rsidR="007952D9" w:rsidRDefault="007952D9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2D9" w:rsidRDefault="007952D9" w:rsidP="000D4E7D">
      <w:r>
        <w:separator/>
      </w:r>
    </w:p>
  </w:footnote>
  <w:footnote w:type="continuationSeparator" w:id="0">
    <w:p w:rsidR="007952D9" w:rsidRDefault="007952D9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0E0A72"/>
    <w:rsid w:val="000E208F"/>
    <w:rsid w:val="000F15DA"/>
    <w:rsid w:val="000F2B22"/>
    <w:rsid w:val="0013102C"/>
    <w:rsid w:val="00191B55"/>
    <w:rsid w:val="001C6A94"/>
    <w:rsid w:val="001E08AB"/>
    <w:rsid w:val="001E0CBC"/>
    <w:rsid w:val="0020007B"/>
    <w:rsid w:val="00207081"/>
    <w:rsid w:val="002523F5"/>
    <w:rsid w:val="0026721D"/>
    <w:rsid w:val="002B0B7E"/>
    <w:rsid w:val="002B3AE0"/>
    <w:rsid w:val="002C7A9C"/>
    <w:rsid w:val="002D0F79"/>
    <w:rsid w:val="002E48C6"/>
    <w:rsid w:val="003253CB"/>
    <w:rsid w:val="00336371"/>
    <w:rsid w:val="00343A27"/>
    <w:rsid w:val="0035036C"/>
    <w:rsid w:val="00352633"/>
    <w:rsid w:val="003C5407"/>
    <w:rsid w:val="003D203A"/>
    <w:rsid w:val="003E59DD"/>
    <w:rsid w:val="003F184B"/>
    <w:rsid w:val="004033C2"/>
    <w:rsid w:val="004177B1"/>
    <w:rsid w:val="00424382"/>
    <w:rsid w:val="004369F3"/>
    <w:rsid w:val="00451A90"/>
    <w:rsid w:val="004541AF"/>
    <w:rsid w:val="00497BFA"/>
    <w:rsid w:val="004A3997"/>
    <w:rsid w:val="004F0F69"/>
    <w:rsid w:val="004F5166"/>
    <w:rsid w:val="00542FEA"/>
    <w:rsid w:val="00546DD7"/>
    <w:rsid w:val="00566DAF"/>
    <w:rsid w:val="005747F1"/>
    <w:rsid w:val="005A3C56"/>
    <w:rsid w:val="00601126"/>
    <w:rsid w:val="00637C20"/>
    <w:rsid w:val="006441DC"/>
    <w:rsid w:val="0064442B"/>
    <w:rsid w:val="00654C9B"/>
    <w:rsid w:val="0066382C"/>
    <w:rsid w:val="00685CF8"/>
    <w:rsid w:val="00686F97"/>
    <w:rsid w:val="006F21AC"/>
    <w:rsid w:val="00720277"/>
    <w:rsid w:val="00731E97"/>
    <w:rsid w:val="00780C70"/>
    <w:rsid w:val="007952D9"/>
    <w:rsid w:val="007B6B94"/>
    <w:rsid w:val="007C0B61"/>
    <w:rsid w:val="007C62B5"/>
    <w:rsid w:val="007D77F2"/>
    <w:rsid w:val="007F0719"/>
    <w:rsid w:val="00823C89"/>
    <w:rsid w:val="008455E7"/>
    <w:rsid w:val="008D7142"/>
    <w:rsid w:val="00913CF5"/>
    <w:rsid w:val="009160F3"/>
    <w:rsid w:val="00925A70"/>
    <w:rsid w:val="0096763E"/>
    <w:rsid w:val="00974702"/>
    <w:rsid w:val="00994802"/>
    <w:rsid w:val="009B4488"/>
    <w:rsid w:val="009F2EE2"/>
    <w:rsid w:val="00AA0D63"/>
    <w:rsid w:val="00AA3A67"/>
    <w:rsid w:val="00AA5D53"/>
    <w:rsid w:val="00B07645"/>
    <w:rsid w:val="00B45E4E"/>
    <w:rsid w:val="00B9635F"/>
    <w:rsid w:val="00BF0246"/>
    <w:rsid w:val="00BF460B"/>
    <w:rsid w:val="00C23897"/>
    <w:rsid w:val="00C4595A"/>
    <w:rsid w:val="00C45B92"/>
    <w:rsid w:val="00C618BD"/>
    <w:rsid w:val="00C62B3D"/>
    <w:rsid w:val="00C65935"/>
    <w:rsid w:val="00C84415"/>
    <w:rsid w:val="00C91A55"/>
    <w:rsid w:val="00C9464F"/>
    <w:rsid w:val="00CA7CAD"/>
    <w:rsid w:val="00CF2857"/>
    <w:rsid w:val="00D129F8"/>
    <w:rsid w:val="00D21665"/>
    <w:rsid w:val="00D23D82"/>
    <w:rsid w:val="00D4717C"/>
    <w:rsid w:val="00D518E1"/>
    <w:rsid w:val="00D90E15"/>
    <w:rsid w:val="00DA7863"/>
    <w:rsid w:val="00DD7B9D"/>
    <w:rsid w:val="00DE28FF"/>
    <w:rsid w:val="00E01909"/>
    <w:rsid w:val="00E7233F"/>
    <w:rsid w:val="00E97A23"/>
    <w:rsid w:val="00EA2034"/>
    <w:rsid w:val="00EA5855"/>
    <w:rsid w:val="00EB0F45"/>
    <w:rsid w:val="00EE1528"/>
    <w:rsid w:val="00F240CB"/>
    <w:rsid w:val="00F368D4"/>
    <w:rsid w:val="00F56187"/>
    <w:rsid w:val="00F5767F"/>
    <w:rsid w:val="00F76F95"/>
    <w:rsid w:val="00F820AF"/>
    <w:rsid w:val="00F82CCF"/>
    <w:rsid w:val="00FA5263"/>
    <w:rsid w:val="00FB3EDF"/>
    <w:rsid w:val="00FB622B"/>
    <w:rsid w:val="00FD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0B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B7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51B1D-50FA-48DA-8DE8-6D9D62719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1148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16</cp:revision>
  <cp:lastPrinted>2026-07-27T11:14:00Z</cp:lastPrinted>
  <dcterms:created xsi:type="dcterms:W3CDTF">2026-07-15T12:00:00Z</dcterms:created>
  <dcterms:modified xsi:type="dcterms:W3CDTF">2026-07-29T08:19:00Z</dcterms:modified>
</cp:coreProperties>
</file>