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FB3EDF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FB3EDF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72343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7</w:t>
      </w:r>
    </w:p>
    <w:p w:rsidR="00925A70" w:rsidRPr="00FB3EDF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FF59C4" w:rsidRDefault="00925A70" w:rsidP="00FF59C4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FB3EDF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FB3EDF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FB3EDF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FB3EDF">
        <w:rPr>
          <w:rFonts w:asciiTheme="majorHAnsi" w:hAnsiTheme="majorHAnsi" w:cstheme="majorHAnsi"/>
          <w:sz w:val="22"/>
          <w:szCs w:val="22"/>
        </w:rPr>
        <w:t>„</w:t>
      </w:r>
      <w:r w:rsidR="004369F3" w:rsidRPr="00FB3EDF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FB3EDF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FB3EDF">
        <w:rPr>
          <w:rFonts w:asciiTheme="majorHAnsi" w:hAnsiTheme="majorHAnsi" w:cstheme="majorHAnsi"/>
          <w:sz w:val="22"/>
          <w:szCs w:val="22"/>
        </w:rPr>
        <w:t>”</w:t>
      </w:r>
      <w:r w:rsidRPr="00FB3EDF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FB3EDF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FB3EDF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FB3EDF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FB3EDF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FB3EDF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723439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Kardiomonitor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D6221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bookmarkStart w:id="0" w:name="_GoBack"/>
            <w:bookmarkEnd w:id="0"/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343A27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FB3EDF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FB3EDF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FB3EDF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FB3EDF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FB3EDF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FB3EDF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FB3EDF">
        <w:rPr>
          <w:rFonts w:asciiTheme="majorHAnsi" w:hAnsiTheme="majorHAnsi" w:cstheme="majorHAnsi"/>
          <w:sz w:val="22"/>
          <w:szCs w:val="22"/>
        </w:rPr>
        <w:t xml:space="preserve"> </w:t>
      </w:r>
      <w:r w:rsidR="00FF59C4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FB3EDF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FB3EDF" w:rsidRDefault="00925A70" w:rsidP="00FF59C4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FB3EDF">
        <w:rPr>
          <w:rFonts w:asciiTheme="majorHAnsi" w:hAnsiTheme="majorHAnsi" w:cstheme="majorHAnsi"/>
          <w:sz w:val="22"/>
          <w:szCs w:val="22"/>
        </w:rPr>
        <w:t xml:space="preserve"> …………………………………….</w:t>
      </w:r>
    </w:p>
    <w:p w:rsidR="00AA0D63" w:rsidRPr="00FB3EDF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FB3EDF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FB3EDF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FB3EDF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145E1B">
        <w:rPr>
          <w:rFonts w:asciiTheme="majorHAnsi" w:eastAsia="Calibri" w:hAnsiTheme="majorHAnsi" w:cstheme="majorHAnsi"/>
          <w:b/>
          <w:sz w:val="22"/>
          <w:szCs w:val="22"/>
        </w:rPr>
        <w:t>7</w:t>
      </w:r>
    </w:p>
    <w:p w:rsidR="00925A70" w:rsidRPr="00FF59C4" w:rsidRDefault="00925A70" w:rsidP="00FF59C4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FB3EDF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FB3EDF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FB3EDF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FB3EDF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FB3EDF" w:rsidRDefault="00925A70" w:rsidP="004369F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FB3EDF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FB3EDF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FB3EDF" w:rsidRDefault="00723439" w:rsidP="003D203A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KARDIOMONITOR</w:t>
            </w:r>
            <w:r w:rsidR="00AA0D63"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– </w:t>
            </w:r>
            <w:r w:rsidR="00343A27"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="00AA0D63"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</w:t>
            </w:r>
          </w:p>
        </w:tc>
      </w:tr>
      <w:tr w:rsidR="00343A27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343A27" w:rsidRDefault="00343A27" w:rsidP="00343A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Parametry ogólne</w:t>
            </w: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Monitor o konstrukcji kompaktowej. Kolorowy pojedynczy ekran w postaci płaskiego panelu LCD TFT o przekątnej minimum 15,5", rozdzielczości co najmniej 1300x700 pikseli. W obudowie monitora miejsce na akcesoria pomiarowe.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Opisy i komunikaty ekranowe w języku polskim. Obsługa poprzez ekran dotykowy z funkcją obsługi gestów, przyciski funkcyjne oraz pokrętło. Fabrycznie skonfigurowane co najmniej trzy układy ekranu: normalny (krzywe dynamiczne i wartości parametrów),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minitrendów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(krótkie trendy, krzywe dynamiczne i wartości parametrów), duże odczyty. Szybkie przełączanie między ekranami, bez wchodzenia do menu, za pomocą gestów np. przesunięcie w lewo lub w prawo dwoma palcami po ekranie. Monitor wyposażony w funkcje demo oraz tryb szkoleniowy zawierający podstawowe instrukcje dotyczące korzystania z monitora.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Do 12 krzywych dynamicznych wyświetlanych jednocześnie na ekranie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Zasilanie sieciowe dostosowane do 230V / 50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Hz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. Wewnętrzny akumulator, wymienialny przez użytkownika, pozwalający na minimum 240 minut pracy w konfiguracji EKG, NIBP, SpO2.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Cicha praca urządzenia – chłodzenie konwekcyjne bez stosowania wentylatorów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Stopień ochrony przed zalaniem wodą co najmniej IPX1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Wyposażenie w złącza wejścia/wyjścia:</w:t>
            </w:r>
          </w:p>
          <w:p w:rsidR="00C73204" w:rsidRPr="00C100A2" w:rsidRDefault="00C73204" w:rsidP="00C73204">
            <w:pPr>
              <w:pStyle w:val="Style10"/>
              <w:numPr>
                <w:ilvl w:val="0"/>
                <w:numId w:val="11"/>
              </w:numPr>
              <w:autoSpaceDN/>
              <w:adjustRightInd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co najmniej 2 gniazda USB do podłączenia klawiatury, myszki komputerowej, skanera kodów paskowych,</w:t>
            </w:r>
          </w:p>
          <w:p w:rsidR="00C73204" w:rsidRPr="00C100A2" w:rsidRDefault="00C73204" w:rsidP="00C73204">
            <w:pPr>
              <w:pStyle w:val="Style10"/>
              <w:numPr>
                <w:ilvl w:val="0"/>
                <w:numId w:val="11"/>
              </w:numPr>
              <w:autoSpaceDN/>
              <w:adjustRightInd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gniazdo RJ-45 do połączenia z siecią monitorowania.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F04264">
              <w:rPr>
                <w:rFonts w:ascii="Calibri" w:hAnsi="Calibri" w:cs="Calibri"/>
                <w:sz w:val="22"/>
                <w:szCs w:val="22"/>
              </w:rPr>
              <w:t>kardiomonitor wyposażony w pokrywę zabezpieczającą złącza w przypadku ich nieużywania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C73204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FE2294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C73204" w:rsidRDefault="00C73204" w:rsidP="00C7320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73204">
              <w:rPr>
                <w:rFonts w:asciiTheme="majorHAnsi" w:hAnsiTheme="majorHAnsi" w:cstheme="majorHAnsi"/>
                <w:b/>
                <w:sz w:val="22"/>
                <w:szCs w:val="22"/>
              </w:rPr>
              <w:t>System alarmowy</w:t>
            </w: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System alarmowy generujący dwa rodzaje sygnalizacji alarmowej: alarmy fizjologiczne oraz techniczne. Alarmy klasyfikowane według czterech priorytetów w zależności od stopnia zagrożenia alarmu. Ustawianie granic alarmowych przez użytkownika oraz funkcja automatycznego ustawiania granic alarmowych na podstawie bieżących wartości parametrów. Ustawianie głośności alarmowania (co najmniej 9 poziomów do wyboru).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color w:val="000000"/>
                <w:sz w:val="22"/>
                <w:szCs w:val="22"/>
              </w:rPr>
              <w:t>Funkcja zawieszenia sygnalizacji alarmowej na czas wybrany przez użytkownika (do wyboru co najmniej wstrzymanie alarmów na 1, 2, 5, 10 i 15 minut) oraz możliwość zawieszenia alarmów na stałe (zabezpieczone hasłem).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Monitor wyposażony w funkcję trybu intubacji: zawieszenie działania alarmów związanych z modułem CO2 i wyświetlanie na ekranie stopera z czasem jaki pozostał do zakończenia procesu intubacji (ustawiane czasy co najmniej do wyboru 1 i 2 minuty).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C73204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W celu ułatwienia identyfikacji alarmującego monitora możliwość ustawienia oddzielnego wzorca dźwiękowego sygnalizacji alarmowej. </w:t>
            </w:r>
          </w:p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Co najmniej 3 wzorce do wyboru.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A477F1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723439" w:rsidP="0072343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Mierzone parametry</w:t>
            </w: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b/>
                <w:sz w:val="22"/>
                <w:szCs w:val="22"/>
              </w:rPr>
              <w:t>EKG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 - pomiar częstości akcji serca. Zakres minimum 10 - 300/min. Ustawianie prędkości przesuwu krzywej EKG do wyboru co najmniej: 6.25; 12.5; 25; 50 mm/s. Ustawianie wzmocnienia krzywej EKG do wyboru co najmniej: x0.125; x0.25; 0.5; x1; x2; x4; auto. W komplecie z monitorem przewód EKG z kompletem 5 końcówek.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Analiza arytmii – wykrywanie co najmniej 27 kategorii zaburzeń rytmu w tym VF, ASYS, BRADY, TACHY, AF (we wszystkich monitorach).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Monitor wyposażony w funkcję analizującą jednocześnie sygnał EKG oraz sygnał krzywej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pletyzmograficznej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w celu uzyskania dokładniejszych wyników analizy arytmii i pomiarów częstości tętna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Funkcja analizy zmian częstości akcji serca z ostatnich 24 godzin informacje o wartościach HR, ST, QT i arytmii: statystyka dot. częstości akcji serca, statystyka zdarzeń arytmii, statystyka pomiarów QT/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QTc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, statystyka maksymalnych i minimalnych wartości odcinka ST dla poszczególnych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odprowadzeń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, statystyka dot. danych stymulatora.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DD105B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Analiza odcinka ST – jednoczesny pomiar odchylenia odcinka ST w siedmiu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odprowadzeniach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w zakresie co najmniej od -2,5 do +2,5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mV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. Prezentacja zmian odchylenia ST w postaci wzorcowych odcinków ST z nanoszonymi na nie bieżącymi odcinkami.  Tryb alarmowania ST w oparciu wartości bezwzględne oraz względne w stosunku do linii odniesienia. Możliwość ustawienia granic alarmowych dla pojedynczego ST oraz dla dwóch ST.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DD105B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Analiza zmian odcinka QT oraz obliczanie wartości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QTc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wg. co najmniej 4 wzorów.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b/>
                <w:sz w:val="22"/>
                <w:szCs w:val="22"/>
              </w:rPr>
              <w:t>RESP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 – pomiar częstości oddechu metodą impedancyjną. Zakres pomiarowy częstości oddechu co najmniej od 0 do 200 R/min. Możliwość wyboru odprowadzeni do monitorowania respiracji. Wybór prędkości przesuwu krzywych co najmniej: 3; 6.25; 12,5; 25; 50 mm/s.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Saturacja (</w:t>
            </w:r>
            <w:r w:rsidRPr="00C100A2">
              <w:rPr>
                <w:rFonts w:ascii="Calibri" w:hAnsi="Calibri" w:cs="Calibri"/>
                <w:b/>
                <w:sz w:val="22"/>
                <w:szCs w:val="22"/>
              </w:rPr>
              <w:t>SpO</w:t>
            </w:r>
            <w:r w:rsidRPr="00C100A2">
              <w:rPr>
                <w:rFonts w:ascii="Calibri" w:hAnsi="Calibri" w:cs="Calibri"/>
                <w:b/>
                <w:sz w:val="22"/>
                <w:szCs w:val="22"/>
                <w:vertAlign w:val="subscript"/>
              </w:rPr>
              <w:t>2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). Zakres pomiarowy %SpO2 0-100%. Zakres pomiarowy częstości pulsu co najmniej 20-300 P/min. Jednoczesne wyświetlanie krzywej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pletyzmograficznej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oraz wartości % saturacji, częstości pulsu i wskaźnika perfuzji. Alarm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desaturacji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. W komplecie z monitorem  przewód interfejsowy oraz czujnik SpO2 na palec.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Nieinwazyjny pomiar ciśnienia </w:t>
            </w:r>
            <w:r w:rsidRPr="00C100A2">
              <w:rPr>
                <w:rFonts w:ascii="Calibri" w:hAnsi="Calibri" w:cs="Calibri"/>
                <w:b/>
                <w:bCs/>
                <w:sz w:val="22"/>
                <w:szCs w:val="22"/>
              </w:rPr>
              <w:t>(NIPC)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 metoda oscylometryczna. Zakres pomiarowy ciśnienia skurczowego co najmniej od 30 do 290 mmHg. Pomiar ręczny, automatyczny i ciągły. Pomiar automatyczny z regulowanym interwałem co najmniej 1–480 minut. Pomiar sekwencyjny składający się z co najmniej 4 faz, z indywidualnym ustawianiem czasu trwania oraz interwału dla każdej fazy. Prezentacja wartości: skurczowej, rozkurczowej oraz średniej. Funkcja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stazy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. Funkcja wstępnego ustawiania ciśnienia pompowania mankietu. Możliwość pomiaru ciśnienia metodą nieinwazyjną na tej samej kończynie co pomiar SpO2 bez wywoływania alarmu SpO2. Pomiar częstości pulsu wraz z nieinwazyjnym ciśnieniem co najmniej w zakresie od 30 do 300 P/min. W komplecie z monitorem przewód oraz mankiet w rozmiarze średnim.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Pomiar temperatury, dwa tory pomiarowe. Zakres pomiarowy co najmniej od 0 do 50</w:t>
            </w:r>
            <w:r w:rsidRPr="00C100A2">
              <w:rPr>
                <w:rFonts w:ascii="Calibri" w:hAnsi="Calibri" w:cs="Calibri"/>
                <w:sz w:val="22"/>
                <w:szCs w:val="22"/>
                <w:vertAlign w:val="superscript"/>
              </w:rPr>
              <w:t>o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C. Wyświetlanie </w:t>
            </w:r>
            <w:r w:rsidRPr="00C100A2">
              <w:rPr>
                <w:rFonts w:ascii="Calibri" w:hAnsi="Calibri" w:cs="Calibri"/>
                <w:b/>
                <w:bCs/>
                <w:sz w:val="22"/>
                <w:szCs w:val="22"/>
              </w:rPr>
              <w:t>T1, T2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 oraz różnicy między nimi. Wybór etykiety  temperatury zgodnie z miejscem pomiaru z listy co najmniej 10 etykiet zapisanych w pamięci monitora.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Inwazyjny pomiar ciśnienia(</w:t>
            </w:r>
            <w:r w:rsidRPr="00C100A2">
              <w:rPr>
                <w:rFonts w:ascii="Calibri" w:hAnsi="Calibri" w:cs="Calibri"/>
                <w:b/>
                <w:sz w:val="22"/>
                <w:szCs w:val="22"/>
              </w:rPr>
              <w:t>IBP</w:t>
            </w:r>
            <w:r w:rsidRPr="00C100A2">
              <w:rPr>
                <w:rFonts w:ascii="Calibri" w:hAnsi="Calibri" w:cs="Calibri"/>
                <w:sz w:val="22"/>
                <w:szCs w:val="22"/>
              </w:rPr>
              <w:t>), dwa tory pomiarowe. Wyświetlanie wartości skurczowych, rozkurczowych i średnich. Zakres pomiarowy inwazyjnego ciśnienia co najmniej od -50 do +350 mmHg. Obliczanie wartości PPV. Pomiar częstości pulsu wraz z inwazyjnym ciśnieniem co najmniej w zakresie od 30 do 300 P/min. Funkcja wyświetlania dwóch krzywych ciśnienia inwazyjnego ze wspólnym poziomem zero.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Pomiar kapnografii w strumieniu bocznym </w:t>
            </w:r>
            <w:r w:rsidRPr="00C100A2">
              <w:rPr>
                <w:rFonts w:ascii="Calibri" w:hAnsi="Calibri" w:cs="Calibri"/>
                <w:b/>
                <w:bCs/>
                <w:sz w:val="22"/>
                <w:szCs w:val="22"/>
              </w:rPr>
              <w:t>(CO2).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 Zakres pomiarowy stężenia </w:t>
            </w:r>
            <w:r w:rsidRPr="00C100A2">
              <w:rPr>
                <w:rFonts w:ascii="Calibri" w:hAnsi="Calibri" w:cs="Calibri"/>
                <w:bCs/>
                <w:sz w:val="22"/>
                <w:szCs w:val="22"/>
              </w:rPr>
              <w:t>CO2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 co najmniej od 0 do 90 mmHg. Zakres pomiarowy częstości oddechu co najmniej od 4 do 120 R/min. W komplecie 2 szt. akcesoriów do usuwania wilgoci z układu pomiarowego (pułapka wodna lub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nafion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w zależności od stosowanej technologii) oraz 5 szt. jednorazowych linii próbkujących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Kompatybilność akcesoriów pomiarowych w zakresie pomiaru EKG, Sp02, NIBP, Temp. z posiadanymi przez zamawiającego kardiomonitorami z serii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uMEC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BeneVision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Monitor przygotowany do rozbudowy o pomiar rzutu minutowego metodą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termodylucji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(wbudowane gniazdo do podłączenia pomiaru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termodylucji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). Bez wyposażenia.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Przynajmniej 120-godzinne trendy wszystkich mierzonych parametrów, w postaci tabel i wykresów  z rozdzielczością od 1 minuty oraz 1200-godzinne trendy wszystkich mierzonych parametrów, w postaci tabel i wykresów  z rozdzielczością od 10 minut.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Zapamiętywanie krzywych dynamicznych w czasie rzeczywistym (funkcja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full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dislosure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) – pamięć co najmniej 24 godzin.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Zapamiętywanie co najmniej 1000 zdarzeń alarmowych (krzywe i odpowiadające im wartości parametrów).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Możliwość wyposażenia kardiomonitora w wbudowany rejestrator termiczny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Monitor wyposażony w funkcje obliczeń dawki (lekowych), hemodynamicznych,  natlenienia, nerkowych i wentylacji.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Monitor wyposażony w funkcję wprowadzania danych i obliczania punktacji wczesnego ostrzegania EWS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Monitor wyposażony w funkcję oceny stanu świadomości wg. skali Glasgow (GCS) – wprowadzanie danych, wyświetlanie punktacji łącznej i podrzędnej oraz ustawianie odstępu czasowego w jakim mają być wprowadzane dane.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Funkcja „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standby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”, pozwalająca na wstrzymanie monitorowania pacjenta, związane np. z czasowym odłączeniem go od monitora, bez konieczności wyłączania monitora, oraz na szybkie, ponowne uruchomienie monitorowania.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color w:val="000000"/>
                <w:sz w:val="22"/>
                <w:szCs w:val="22"/>
              </w:rPr>
              <w:t>Funkcja „tryb prywatny” pozwalająca - w przypadku podłączenia urządzenia do centrali - na ukrycie danych przed pacjentem i wyświetlanie ich tylko na stanowisku centralnym.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Możliwość współpracy ze stacją centralnego nadzoru przystosowanej również do obsługi monitorów modułowych oraz nadajników telemetrycznych,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0A2">
              <w:rPr>
                <w:rFonts w:ascii="Calibri" w:hAnsi="Calibri" w:cs="Calibri"/>
                <w:color w:val="000000"/>
                <w:sz w:val="22"/>
                <w:szCs w:val="22"/>
              </w:rPr>
              <w:t>Statyw na kółkach z półką do mocowania monitora i koszykiem na akcesoria lub uchwyt na ścianę z półką do mocowania monitora i koszykiem na akcesoria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723439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723439" w:rsidRPr="00FB3EDF" w:rsidRDefault="00723439" w:rsidP="00723439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723439" w:rsidRPr="00FB3EDF" w:rsidRDefault="00723439" w:rsidP="007234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723439" w:rsidRPr="00FB3EDF" w:rsidRDefault="00723439" w:rsidP="00723439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723439" w:rsidRPr="00FB3EDF" w:rsidRDefault="00723439" w:rsidP="00723439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FB3EDF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FB3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427" w:rsidRDefault="00FF0427" w:rsidP="000D4E7D">
      <w:r>
        <w:separator/>
      </w:r>
    </w:p>
  </w:endnote>
  <w:endnote w:type="continuationSeparator" w:id="0">
    <w:p w:rsidR="00FF0427" w:rsidRDefault="00FF0427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427" w:rsidRDefault="00FF0427" w:rsidP="000D4E7D">
      <w:r>
        <w:separator/>
      </w:r>
    </w:p>
  </w:footnote>
  <w:footnote w:type="continuationSeparator" w:id="0">
    <w:p w:rsidR="00FF0427" w:rsidRDefault="00FF0427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A4299E"/>
    <w:multiLevelType w:val="hybridMultilevel"/>
    <w:tmpl w:val="8384D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13102C"/>
    <w:rsid w:val="00145E1B"/>
    <w:rsid w:val="00191B55"/>
    <w:rsid w:val="001E08AB"/>
    <w:rsid w:val="00207081"/>
    <w:rsid w:val="0026721D"/>
    <w:rsid w:val="002C7A9C"/>
    <w:rsid w:val="002D0F79"/>
    <w:rsid w:val="003253CB"/>
    <w:rsid w:val="00343A27"/>
    <w:rsid w:val="0035036C"/>
    <w:rsid w:val="00352633"/>
    <w:rsid w:val="003C5407"/>
    <w:rsid w:val="003D203A"/>
    <w:rsid w:val="003F184B"/>
    <w:rsid w:val="00417D24"/>
    <w:rsid w:val="004369F3"/>
    <w:rsid w:val="00451A90"/>
    <w:rsid w:val="004541AF"/>
    <w:rsid w:val="004A029F"/>
    <w:rsid w:val="004A3997"/>
    <w:rsid w:val="004F5166"/>
    <w:rsid w:val="00542FEA"/>
    <w:rsid w:val="005747F1"/>
    <w:rsid w:val="005A3C56"/>
    <w:rsid w:val="00601126"/>
    <w:rsid w:val="00637C20"/>
    <w:rsid w:val="00686F97"/>
    <w:rsid w:val="00723439"/>
    <w:rsid w:val="00723B25"/>
    <w:rsid w:val="007D77F2"/>
    <w:rsid w:val="007F0719"/>
    <w:rsid w:val="00823C89"/>
    <w:rsid w:val="008455E7"/>
    <w:rsid w:val="008D7142"/>
    <w:rsid w:val="00925A70"/>
    <w:rsid w:val="00994802"/>
    <w:rsid w:val="00AA0D63"/>
    <w:rsid w:val="00AA3A67"/>
    <w:rsid w:val="00AA5D53"/>
    <w:rsid w:val="00BD7CBD"/>
    <w:rsid w:val="00BF460B"/>
    <w:rsid w:val="00BF5A66"/>
    <w:rsid w:val="00C4595A"/>
    <w:rsid w:val="00C45B92"/>
    <w:rsid w:val="00C62B3D"/>
    <w:rsid w:val="00C73204"/>
    <w:rsid w:val="00C91A55"/>
    <w:rsid w:val="00D129F8"/>
    <w:rsid w:val="00D4717C"/>
    <w:rsid w:val="00D6221E"/>
    <w:rsid w:val="00D90E15"/>
    <w:rsid w:val="00DA7863"/>
    <w:rsid w:val="00DD105B"/>
    <w:rsid w:val="00DE28FF"/>
    <w:rsid w:val="00EA2034"/>
    <w:rsid w:val="00EE1528"/>
    <w:rsid w:val="00F240CB"/>
    <w:rsid w:val="00F5767F"/>
    <w:rsid w:val="00F82CCF"/>
    <w:rsid w:val="00FB3EDF"/>
    <w:rsid w:val="00FF0427"/>
    <w:rsid w:val="00F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DD61DC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C732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744D4-7858-46F1-890B-FAC326364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9</cp:revision>
  <cp:lastPrinted>2026-07-03T09:40:00Z</cp:lastPrinted>
  <dcterms:created xsi:type="dcterms:W3CDTF">2026-06-19T10:28:00Z</dcterms:created>
  <dcterms:modified xsi:type="dcterms:W3CDTF">2026-07-24T07:55:00Z</dcterms:modified>
</cp:coreProperties>
</file>