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173C4E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173C4E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Załącznik nr 1 do SWZ</w:t>
      </w:r>
    </w:p>
    <w:p w:rsidR="00925A70" w:rsidRPr="00173C4E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</w:p>
    <w:p w:rsidR="00925A70" w:rsidRPr="00173C4E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173C4E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Wykonawca:</w:t>
      </w:r>
    </w:p>
    <w:p w:rsidR="00925A70" w:rsidRPr="00173C4E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173C4E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173C4E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173C4E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173C4E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173C4E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173C4E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</w:pPr>
      <w:r w:rsidRPr="00173C4E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(</w:t>
      </w:r>
      <w:r w:rsidRPr="00173C4E"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173C4E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</w:pPr>
      <w:r w:rsidRPr="00173C4E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NIP</w:t>
      </w:r>
      <w:r w:rsidRPr="00173C4E"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173C4E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</w:pPr>
      <w:r w:rsidRPr="00173C4E"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  <w:t>KRS ……………………..………</w:t>
      </w:r>
    </w:p>
    <w:p w:rsidR="00925A70" w:rsidRPr="00173C4E" w:rsidRDefault="00925A70" w:rsidP="00925A70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173C4E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OFERTA – Część nr 1</w:t>
      </w:r>
    </w:p>
    <w:p w:rsidR="00925A70" w:rsidRPr="00173C4E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173C4E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557D87" w:rsidRDefault="00925A70" w:rsidP="00557D87">
      <w:pPr>
        <w:pStyle w:val="Tytu"/>
        <w:spacing w:after="60" w:line="276" w:lineRule="auto"/>
        <w:jc w:val="both"/>
        <w:rPr>
          <w:rFonts w:asciiTheme="majorHAnsi" w:eastAsia="Times New Roman" w:hAnsiTheme="majorHAnsi" w:cs="Arial"/>
          <w:b w:val="0"/>
          <w:bCs w:val="0"/>
          <w:sz w:val="22"/>
          <w:szCs w:val="22"/>
          <w:lang w:eastAsia="pl-PL"/>
        </w:rPr>
      </w:pPr>
      <w:r w:rsidRPr="00173C4E">
        <w:rPr>
          <w:rFonts w:asciiTheme="majorHAnsi" w:eastAsia="Calibri" w:hAnsiTheme="majorHAnsi" w:cs="Calibr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</w:t>
      </w:r>
      <w:r w:rsidR="00173C4E" w:rsidRPr="00173C4E">
        <w:rPr>
          <w:rFonts w:asciiTheme="majorHAnsi" w:eastAsia="Calibri" w:hAnsiTheme="majorHAnsi" w:cs="Calibri"/>
          <w:b w:val="0"/>
          <w:bCs w:val="0"/>
          <w:sz w:val="22"/>
          <w:szCs w:val="22"/>
          <w:lang w:val="pl-PL" w:eastAsia="ar-SA"/>
        </w:rPr>
        <w:t xml:space="preserve">na zakup </w:t>
      </w:r>
      <w:r w:rsidRPr="00173C4E">
        <w:rPr>
          <w:rFonts w:asciiTheme="majorHAnsi" w:eastAsia="Calibri" w:hAnsiTheme="majorHAnsi" w:cs="Calibri"/>
          <w:b w:val="0"/>
          <w:bCs w:val="0"/>
          <w:sz w:val="22"/>
          <w:szCs w:val="22"/>
          <w:lang w:val="pl-PL" w:eastAsia="ar-SA"/>
        </w:rPr>
        <w:t xml:space="preserve">sprzętu medycznego, </w:t>
      </w:r>
      <w:r w:rsidRPr="00173C4E">
        <w:rPr>
          <w:rFonts w:asciiTheme="majorHAnsi" w:eastAsia="Calibri" w:hAnsiTheme="majorHAnsi" w:cs="Calibri"/>
          <w:b w:val="0"/>
          <w:iCs/>
          <w:sz w:val="22"/>
          <w:szCs w:val="22"/>
          <w:lang w:val="pl-PL" w:eastAsia="ar-SA"/>
        </w:rPr>
        <w:t xml:space="preserve">w </w:t>
      </w:r>
      <w:r w:rsidRPr="00173C4E">
        <w:rPr>
          <w:rFonts w:asciiTheme="majorHAnsi" w:eastAsia="Calibri" w:hAnsiTheme="majorHAnsi" w:cs="Calibri"/>
          <w:b w:val="0"/>
          <w:sz w:val="22"/>
          <w:szCs w:val="22"/>
          <w:lang w:eastAsia="ar-SA"/>
        </w:rPr>
        <w:t xml:space="preserve"> ramach zadania inwestycyjnego pod nazwą:</w:t>
      </w:r>
      <w:r w:rsidRPr="00173C4E">
        <w:rPr>
          <w:rFonts w:asciiTheme="majorHAnsi" w:eastAsia="Calibri" w:hAnsiTheme="majorHAnsi" w:cs="Calibri"/>
          <w:b w:val="0"/>
          <w:sz w:val="22"/>
          <w:szCs w:val="22"/>
          <w:lang w:val="pl-PL" w:eastAsia="ar-SA"/>
        </w:rPr>
        <w:t xml:space="preserve"> </w:t>
      </w:r>
      <w:r w:rsidRPr="00173C4E">
        <w:rPr>
          <w:rFonts w:asciiTheme="majorHAnsi" w:hAnsiTheme="majorHAnsi" w:cs="Arial"/>
          <w:sz w:val="22"/>
          <w:szCs w:val="22"/>
        </w:rPr>
        <w:t>„</w:t>
      </w:r>
      <w:r w:rsidR="004369F3" w:rsidRPr="00173C4E">
        <w:rPr>
          <w:rFonts w:asciiTheme="majorHAnsi" w:hAnsiTheme="majorHAnsi" w:cs="Arial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173C4E">
        <w:rPr>
          <w:rFonts w:asciiTheme="majorHAnsi" w:hAnsiTheme="majorHAnsi" w:cs="Arial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173C4E">
        <w:rPr>
          <w:rFonts w:asciiTheme="majorHAnsi" w:hAnsiTheme="majorHAnsi" w:cs="Arial"/>
          <w:sz w:val="22"/>
          <w:szCs w:val="22"/>
        </w:rPr>
        <w:t>”</w:t>
      </w:r>
      <w:r w:rsidRPr="00173C4E">
        <w:rPr>
          <w:rFonts w:asciiTheme="majorHAnsi" w:hAnsiTheme="majorHAnsi" w:cs="Arial"/>
          <w:sz w:val="22"/>
          <w:szCs w:val="22"/>
          <w:lang w:val="pl-PL"/>
        </w:rPr>
        <w:t xml:space="preserve"> </w:t>
      </w:r>
      <w:r w:rsidRPr="00173C4E">
        <w:rPr>
          <w:rFonts w:asciiTheme="majorHAnsi" w:hAnsiTheme="majorHAnsi" w:cs="Calibri"/>
          <w:b w:val="0"/>
          <w:sz w:val="22"/>
          <w:szCs w:val="22"/>
          <w:lang w:val="pl-PL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173C4E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173C4E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173C4E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173C4E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173C4E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173C4E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173C4E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</w:p>
          <w:p w:rsidR="00925A70" w:rsidRPr="00173C4E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173C4E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173C4E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173C4E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173C4E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173C4E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173C4E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173C4E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173C4E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  <w:p w:rsidR="00925A70" w:rsidRPr="00173C4E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173C4E" w:rsidRDefault="004369F3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RTG – Ramię C</w:t>
            </w:r>
          </w:p>
          <w:p w:rsidR="00925A70" w:rsidRPr="00173C4E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theme="min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173C4E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theme="min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173C4E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theme="min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173C4E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theme="min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173C4E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theme="minorHAnsi"/>
                <w:bCs/>
                <w:sz w:val="22"/>
                <w:szCs w:val="22"/>
              </w:rPr>
              <w:t>Kraj</w:t>
            </w:r>
            <w:r w:rsidR="0097746D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producenta</w:t>
            </w:r>
            <w:bookmarkStart w:id="0" w:name="_GoBack"/>
            <w:bookmarkEnd w:id="0"/>
            <w:r w:rsidRPr="00173C4E">
              <w:rPr>
                <w:rFonts w:asciiTheme="majorHAnsi" w:hAnsiTheme="majorHAnsi" w:cstheme="minorHAnsi"/>
                <w:bCs/>
                <w:sz w:val="22"/>
                <w:szCs w:val="22"/>
              </w:rPr>
              <w:t>………………………</w:t>
            </w:r>
          </w:p>
          <w:p w:rsidR="00925A70" w:rsidRPr="00173C4E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173C4E">
              <w:rPr>
                <w:rFonts w:asciiTheme="majorHAnsi" w:eastAsia="Calibri" w:hAnsiTheme="majorHAnsi" w:cstheme="minorHAnsi"/>
                <w:sz w:val="22"/>
                <w:szCs w:val="22"/>
              </w:rPr>
              <w:t>Urządzenie fabrycznie nowe. Rok produkcji (nie starszy niż 202</w:t>
            </w:r>
            <w:r w:rsidR="004369F3" w:rsidRPr="00173C4E">
              <w:rPr>
                <w:rFonts w:asciiTheme="majorHAnsi" w:eastAsia="Calibri" w:hAnsiTheme="majorHAnsi" w:cstheme="minorHAnsi"/>
                <w:sz w:val="22"/>
                <w:szCs w:val="22"/>
              </w:rPr>
              <w:t>6</w:t>
            </w:r>
            <w:r w:rsidRPr="00173C4E">
              <w:rPr>
                <w:rFonts w:asciiTheme="majorHAnsi" w:eastAsia="Calibri" w:hAnsiTheme="majorHAnsi" w:cstheme="minorHAnsi"/>
                <w:sz w:val="22"/>
                <w:szCs w:val="22"/>
              </w:rPr>
              <w:t>) ……………………………………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173C4E" w:rsidRDefault="00925A70">
            <w:pPr>
              <w:tabs>
                <w:tab w:val="left" w:pos="9072"/>
              </w:tabs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173C4E" w:rsidRDefault="004369F3">
            <w:pPr>
              <w:tabs>
                <w:tab w:val="left" w:pos="9072"/>
              </w:tabs>
              <w:jc w:val="center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173C4E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173C4E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173C4E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173C4E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173C4E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</w:tr>
      <w:tr w:rsidR="00925A70" w:rsidRPr="00173C4E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A70" w:rsidRPr="00173C4E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Cs/>
                <w:sz w:val="22"/>
                <w:szCs w:val="22"/>
              </w:rPr>
              <w:t xml:space="preserve">2. </w:t>
            </w: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173C4E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color w:val="FF0000"/>
                <w:sz w:val="22"/>
                <w:szCs w:val="22"/>
              </w:rPr>
            </w:pPr>
            <w:r w:rsidRPr="00173C4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173C4E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5A70" w:rsidRPr="00173C4E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iCs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173C4E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</w:tr>
    </w:tbl>
    <w:p w:rsidR="00925A70" w:rsidRPr="00173C4E" w:rsidRDefault="00925A70" w:rsidP="00925A70">
      <w:pPr>
        <w:spacing w:after="60" w:line="276" w:lineRule="auto"/>
        <w:jc w:val="both"/>
        <w:rPr>
          <w:rFonts w:asciiTheme="majorHAnsi" w:eastAsia="Batang" w:hAnsiTheme="majorHAnsi" w:cs="Calibri"/>
          <w:b/>
          <w:bCs/>
          <w:sz w:val="22"/>
          <w:szCs w:val="22"/>
          <w:lang w:eastAsia="x-none"/>
        </w:rPr>
      </w:pPr>
    </w:p>
    <w:p w:rsidR="00925A70" w:rsidRPr="00173C4E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="Calibri"/>
          <w:b/>
          <w:bCs/>
          <w:sz w:val="22"/>
          <w:szCs w:val="22"/>
          <w:lang w:eastAsia="x-none"/>
        </w:rPr>
      </w:pPr>
      <w:r w:rsidRPr="00173C4E">
        <w:rPr>
          <w:rFonts w:asciiTheme="majorHAnsi" w:eastAsia="Batang" w:hAnsiTheme="majorHAnsi" w:cs="Calibri"/>
          <w:b/>
          <w:bCs/>
          <w:sz w:val="22"/>
          <w:szCs w:val="22"/>
          <w:lang w:eastAsia="x-none"/>
        </w:rPr>
        <w:t>UWAGA!</w:t>
      </w:r>
    </w:p>
    <w:p w:rsidR="00925A70" w:rsidRPr="00173C4E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="Calibri"/>
          <w:bCs/>
          <w:sz w:val="22"/>
          <w:szCs w:val="22"/>
          <w:lang w:eastAsia="x-none"/>
        </w:rPr>
      </w:pPr>
      <w:r w:rsidRPr="00173C4E">
        <w:rPr>
          <w:rFonts w:asciiTheme="majorHAnsi" w:eastAsia="Batang" w:hAnsiTheme="majorHAnsi" w:cs="Calibr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173C4E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</w:p>
    <w:p w:rsidR="00925A70" w:rsidRPr="00173C4E" w:rsidRDefault="00925A70" w:rsidP="00925A70">
      <w:pPr>
        <w:ind w:left="-709"/>
        <w:rPr>
          <w:rFonts w:asciiTheme="majorHAnsi" w:hAnsiTheme="majorHAnsi" w:cs="Calibri"/>
          <w:color w:val="FF0000"/>
          <w:sz w:val="22"/>
          <w:szCs w:val="22"/>
        </w:rPr>
      </w:pPr>
      <w:r w:rsidRPr="00173C4E">
        <w:rPr>
          <w:rFonts w:asciiTheme="majorHAnsi" w:hAnsiTheme="majorHAnsi" w:cs="Calibri"/>
          <w:b/>
          <w:sz w:val="22"/>
          <w:szCs w:val="22"/>
        </w:rPr>
        <w:t>Termin dostawy:</w:t>
      </w:r>
      <w:r w:rsidRPr="00173C4E">
        <w:rPr>
          <w:rFonts w:asciiTheme="majorHAnsi" w:hAnsiTheme="majorHAnsi" w:cs="Calibri"/>
          <w:sz w:val="22"/>
          <w:szCs w:val="22"/>
        </w:rPr>
        <w:t xml:space="preserve"> </w:t>
      </w:r>
      <w:r w:rsidR="00557D87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173C4E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  <w:r w:rsidRPr="00173C4E">
        <w:rPr>
          <w:rFonts w:asciiTheme="majorHAnsi" w:hAnsiTheme="majorHAnsi" w:cs="Calibri"/>
          <w:b/>
          <w:sz w:val="22"/>
          <w:szCs w:val="22"/>
        </w:rPr>
        <w:t>Osoba do kontaktu</w:t>
      </w:r>
      <w:r w:rsidRPr="00173C4E">
        <w:rPr>
          <w:rFonts w:asciiTheme="majorHAnsi" w:hAnsiTheme="majorHAnsi" w:cs="Calibri"/>
          <w:sz w:val="22"/>
          <w:szCs w:val="22"/>
        </w:rPr>
        <w:t>: …………………………………</w:t>
      </w:r>
    </w:p>
    <w:p w:rsidR="00925A70" w:rsidRPr="00173C4E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</w:p>
    <w:p w:rsidR="00925A70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  <w:r w:rsidRPr="00173C4E">
        <w:rPr>
          <w:rFonts w:asciiTheme="majorHAnsi" w:hAnsiTheme="majorHAnsi" w:cs="Calibri"/>
          <w:b/>
          <w:sz w:val="22"/>
          <w:szCs w:val="22"/>
        </w:rPr>
        <w:t>Adres e-mail:</w:t>
      </w:r>
      <w:r w:rsidRPr="00173C4E">
        <w:rPr>
          <w:rFonts w:asciiTheme="majorHAnsi" w:hAnsiTheme="majorHAnsi" w:cs="Calibri"/>
          <w:sz w:val="22"/>
          <w:szCs w:val="22"/>
        </w:rPr>
        <w:t xml:space="preserve"> ……………………………………..</w:t>
      </w:r>
    </w:p>
    <w:p w:rsidR="001C3EFE" w:rsidRPr="00173C4E" w:rsidRDefault="001C3EFE" w:rsidP="00925A70">
      <w:pPr>
        <w:ind w:left="-709"/>
        <w:rPr>
          <w:rFonts w:asciiTheme="majorHAnsi" w:hAnsiTheme="majorHAnsi" w:cs="Calibri"/>
          <w:sz w:val="22"/>
          <w:szCs w:val="22"/>
        </w:rPr>
      </w:pPr>
    </w:p>
    <w:p w:rsidR="00557D87" w:rsidRDefault="00557D87" w:rsidP="00925A70">
      <w:pPr>
        <w:shd w:val="clear" w:color="auto" w:fill="FFFFFF"/>
        <w:jc w:val="center"/>
        <w:rPr>
          <w:rFonts w:asciiTheme="majorHAnsi" w:eastAsia="Calibri" w:hAnsiTheme="majorHAnsi" w:cs="Calibri Light"/>
          <w:b/>
          <w:bCs/>
          <w:sz w:val="22"/>
          <w:szCs w:val="22"/>
          <w:lang w:eastAsia="ar-SA"/>
        </w:rPr>
      </w:pPr>
    </w:p>
    <w:p w:rsidR="00925A70" w:rsidRPr="00173C4E" w:rsidRDefault="00925A70" w:rsidP="00925A70">
      <w:pPr>
        <w:shd w:val="clear" w:color="auto" w:fill="FFFFFF"/>
        <w:jc w:val="center"/>
        <w:rPr>
          <w:rFonts w:asciiTheme="majorHAnsi" w:eastAsia="Calibri" w:hAnsiTheme="majorHAnsi" w:cs="Calibri Light"/>
          <w:b/>
          <w:bCs/>
          <w:sz w:val="22"/>
          <w:szCs w:val="22"/>
          <w:lang w:eastAsia="ar-SA"/>
        </w:rPr>
      </w:pPr>
      <w:r w:rsidRPr="00173C4E">
        <w:rPr>
          <w:rFonts w:asciiTheme="majorHAnsi" w:eastAsia="Calibri" w:hAnsiTheme="majorHAnsi" w:cs="Calibri Light"/>
          <w:b/>
          <w:bCs/>
          <w:sz w:val="22"/>
          <w:szCs w:val="22"/>
          <w:lang w:eastAsia="ar-SA"/>
        </w:rPr>
        <w:lastRenderedPageBreak/>
        <w:t>PARAMETRY TECHNICZNE WYMAGANE  I OFEROWANE</w:t>
      </w:r>
    </w:p>
    <w:p w:rsidR="00925A70" w:rsidRPr="00173C4E" w:rsidRDefault="00925A70" w:rsidP="00925A70">
      <w:pPr>
        <w:shd w:val="clear" w:color="auto" w:fill="FFFFFF"/>
        <w:jc w:val="center"/>
        <w:rPr>
          <w:rFonts w:asciiTheme="majorHAnsi" w:eastAsia="Calibri" w:hAnsiTheme="majorHAnsi" w:cs="Calibri Light"/>
          <w:b/>
          <w:bCs/>
          <w:sz w:val="22"/>
          <w:szCs w:val="22"/>
          <w:lang w:eastAsia="ar-SA"/>
        </w:rPr>
      </w:pPr>
    </w:p>
    <w:p w:rsidR="00925A70" w:rsidRPr="00173C4E" w:rsidRDefault="00925A70" w:rsidP="00925A70">
      <w:pPr>
        <w:spacing w:after="120"/>
        <w:jc w:val="center"/>
        <w:rPr>
          <w:rFonts w:asciiTheme="majorHAnsi" w:eastAsia="Calibri" w:hAnsiTheme="majorHAnsi" w:cs="Calibri Light"/>
          <w:b/>
          <w:sz w:val="22"/>
          <w:szCs w:val="22"/>
          <w:lang w:eastAsia="en-US"/>
        </w:rPr>
      </w:pPr>
      <w:r w:rsidRPr="00173C4E">
        <w:rPr>
          <w:rFonts w:asciiTheme="majorHAnsi" w:eastAsia="Calibri" w:hAnsiTheme="majorHAnsi" w:cs="Calibri Light"/>
          <w:b/>
          <w:sz w:val="22"/>
          <w:szCs w:val="22"/>
        </w:rPr>
        <w:t>Część nr 1</w:t>
      </w:r>
    </w:p>
    <w:p w:rsidR="00925A70" w:rsidRPr="00557D87" w:rsidRDefault="00925A70" w:rsidP="00557D87">
      <w:pPr>
        <w:spacing w:after="120"/>
        <w:jc w:val="center"/>
        <w:rPr>
          <w:rFonts w:asciiTheme="majorHAnsi" w:eastAsia="Calibri" w:hAnsiTheme="majorHAnsi" w:cs="Calibri Light"/>
          <w:sz w:val="22"/>
          <w:szCs w:val="22"/>
        </w:rPr>
      </w:pPr>
      <w:r w:rsidRPr="00173C4E">
        <w:rPr>
          <w:rFonts w:asciiTheme="majorHAnsi" w:eastAsia="Calibri" w:hAnsiTheme="majorHAnsi" w:cs="Calibri Light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173C4E" w:rsidTr="004369F3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173C4E" w:rsidRDefault="00925A70">
            <w:pPr>
              <w:ind w:left="360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173C4E" w:rsidRDefault="00925A7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173C4E">
              <w:rPr>
                <w:rFonts w:asciiTheme="majorHAnsi" w:hAnsiTheme="majorHAnsi" w:cstheme="min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173C4E" w:rsidRDefault="00925A70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173C4E">
              <w:rPr>
                <w:rFonts w:asciiTheme="majorHAnsi" w:hAnsiTheme="majorHAnsi" w:cstheme="min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173C4E" w:rsidRDefault="00925A7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173C4E">
              <w:rPr>
                <w:rFonts w:asciiTheme="majorHAnsi" w:hAnsiTheme="majorHAnsi" w:cstheme="minorHAnsi"/>
                <w:sz w:val="22"/>
                <w:szCs w:val="22"/>
              </w:rPr>
              <w:t xml:space="preserve">Wartość oferowana przez Wykonawcę </w:t>
            </w:r>
            <w:r w:rsidRPr="00173C4E">
              <w:rPr>
                <w:rFonts w:asciiTheme="majorHAnsi" w:hAnsiTheme="majorHAnsi" w:cstheme="min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4369F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Głębokość ramienia C</w:t>
            </w:r>
          </w:p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(odległość między osią wiązki a wewnętrzną powierzchnią ramienia C) - ≥ 70 cm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4369F3" w:rsidRPr="00173C4E" w:rsidRDefault="004369F3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  <w:p w:rsidR="008455E7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Parametr punktowany:</w:t>
            </w:r>
          </w:p>
          <w:p w:rsidR="008455E7" w:rsidRPr="00173C4E" w:rsidRDefault="008455E7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≥ 73 cm – </w:t>
            </w:r>
            <w:r w:rsidR="00940BB1" w:rsidRPr="00173C4E">
              <w:rPr>
                <w:rFonts w:asciiTheme="majorHAnsi" w:hAnsiTheme="majorHAnsi"/>
                <w:sz w:val="22"/>
                <w:szCs w:val="22"/>
              </w:rPr>
              <w:t>2</w:t>
            </w:r>
            <w:r w:rsidRPr="00173C4E">
              <w:rPr>
                <w:rFonts w:asciiTheme="majorHAnsi" w:hAnsiTheme="majorHAnsi"/>
                <w:sz w:val="22"/>
                <w:szCs w:val="22"/>
              </w:rPr>
              <w:t xml:space="preserve"> pkt</w:t>
            </w:r>
          </w:p>
          <w:p w:rsidR="008455E7" w:rsidRPr="00173C4E" w:rsidRDefault="008455E7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&lt; 73 cm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Odległość SID ≥ 103 cm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Prześwit ramienia C (odległość między detektorem a lampą RTG) ≥ 80 cm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Zakres ruchu wzdłużnego ramienia C</w:t>
            </w:r>
            <w:r w:rsidR="008455E7" w:rsidRPr="00173C4E">
              <w:rPr>
                <w:rFonts w:asciiTheme="majorHAnsi" w:hAnsiTheme="majorHAnsi"/>
                <w:sz w:val="22"/>
                <w:szCs w:val="22"/>
              </w:rPr>
              <w:t xml:space="preserve"> ≥ 20 cm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TAK, podać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Zakres ruchu pionowego ramienia C</w:t>
            </w:r>
            <w:r w:rsidR="008455E7" w:rsidRPr="00173C4E">
              <w:rPr>
                <w:rFonts w:asciiTheme="majorHAnsi" w:hAnsiTheme="majorHAnsi"/>
                <w:sz w:val="22"/>
                <w:szCs w:val="22"/>
              </w:rPr>
              <w:t xml:space="preserve"> ≥ 43 cm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Zmotoryzowany ruch ramienia C w pionie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Zakres ruchu orbitalnego ramienia C</w:t>
            </w:r>
            <w:r w:rsidR="008455E7" w:rsidRPr="00173C4E">
              <w:rPr>
                <w:rFonts w:asciiTheme="majorHAnsi" w:hAnsiTheme="majorHAnsi"/>
                <w:sz w:val="22"/>
                <w:szCs w:val="22"/>
              </w:rPr>
              <w:t xml:space="preserve"> ≥ 130°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Zakres rotacji ramienia C </w:t>
            </w:r>
            <w:r w:rsidR="008455E7" w:rsidRPr="00173C4E">
              <w:rPr>
                <w:rFonts w:asciiTheme="majorHAnsi" w:hAnsiTheme="majorHAnsi"/>
                <w:sz w:val="22"/>
                <w:szCs w:val="22"/>
              </w:rPr>
              <w:t>(</w:t>
            </w:r>
            <w:r w:rsidRPr="00173C4E">
              <w:rPr>
                <w:rFonts w:asciiTheme="majorHAnsi" w:hAnsiTheme="majorHAnsi"/>
                <w:sz w:val="22"/>
                <w:szCs w:val="22"/>
              </w:rPr>
              <w:t>ruch wokół osi wzdłużnej)</w:t>
            </w:r>
            <w:r w:rsidR="008455E7" w:rsidRPr="00173C4E">
              <w:rPr>
                <w:rFonts w:asciiTheme="majorHAnsi" w:hAnsiTheme="majorHAnsi"/>
                <w:sz w:val="22"/>
                <w:szCs w:val="22"/>
              </w:rPr>
              <w:t xml:space="preserve"> ≥ ±190°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Zakres obrotu ramienia C wokół osi pionowej</w:t>
            </w:r>
            <w:r w:rsidR="008455E7" w:rsidRPr="00173C4E">
              <w:rPr>
                <w:rFonts w:asciiTheme="majorHAnsi" w:hAnsiTheme="majorHAnsi"/>
                <w:sz w:val="22"/>
                <w:szCs w:val="22"/>
              </w:rPr>
              <w:t xml:space="preserve"> ≥ ±10°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  <w:p w:rsidR="008455E7" w:rsidRPr="00173C4E" w:rsidRDefault="008455E7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Parametr ≥ ±12°– </w:t>
            </w:r>
            <w:r w:rsidR="00940BB1" w:rsidRPr="00173C4E">
              <w:rPr>
                <w:rFonts w:asciiTheme="majorHAnsi" w:hAnsiTheme="majorHAnsi"/>
                <w:sz w:val="22"/>
                <w:szCs w:val="22"/>
              </w:rPr>
              <w:t>2</w:t>
            </w:r>
            <w:r w:rsidRPr="00173C4E">
              <w:rPr>
                <w:rFonts w:asciiTheme="majorHAnsi" w:hAnsiTheme="majorHAnsi"/>
                <w:sz w:val="22"/>
                <w:szCs w:val="22"/>
              </w:rPr>
              <w:t xml:space="preserve"> pkt</w:t>
            </w:r>
          </w:p>
          <w:p w:rsidR="008455E7" w:rsidRPr="00173C4E" w:rsidRDefault="008455E7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&lt; ±12°– 0 pkt r punktowany:</w:t>
            </w:r>
          </w:p>
          <w:p w:rsidR="008455E7" w:rsidRPr="00173C4E" w:rsidRDefault="008455E7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Hamulce ruchów ramienia C fabrycznie oznaczone kolorami (każdy hamulec innym) – te same kolory oznaczeń dla hamulca i dla odpowiedniej skali zakresu ruchu (m.in. ten sam kolor hamulca od ruchu orbitalnego i kolor skali ruchu orbitalnego)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  <w:p w:rsidR="004369F3" w:rsidRPr="00173C4E" w:rsidRDefault="004369F3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Panel do sterowania funkcjami aparatu w formie dotykowego monitora</w:t>
            </w:r>
          </w:p>
        </w:tc>
        <w:tc>
          <w:tcPr>
            <w:tcW w:w="2128" w:type="dxa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Urządzenie zabezpieczające przed najeżdżaniem na leżące przewody</w:t>
            </w:r>
          </w:p>
        </w:tc>
        <w:tc>
          <w:tcPr>
            <w:tcW w:w="2128" w:type="dxa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Uchwyt w pobliżu detektora do ręcznego manipulowania ramieniem C</w:t>
            </w:r>
          </w:p>
        </w:tc>
        <w:tc>
          <w:tcPr>
            <w:tcW w:w="2128" w:type="dxa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Hamulec kół</w:t>
            </w:r>
          </w:p>
        </w:tc>
        <w:tc>
          <w:tcPr>
            <w:tcW w:w="2128" w:type="dxa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Ręczny włącznik do włączania promieniowania z możliwością zapisu obrazów do pamięci</w:t>
            </w:r>
          </w:p>
        </w:tc>
        <w:tc>
          <w:tcPr>
            <w:tcW w:w="2128" w:type="dxa"/>
            <w:vAlign w:val="center"/>
          </w:tcPr>
          <w:p w:rsidR="004369F3" w:rsidRPr="00173C4E" w:rsidRDefault="004369F3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</w:t>
            </w:r>
            <w:r w:rsidR="008455E7" w:rsidRPr="00173C4E">
              <w:rPr>
                <w:rFonts w:asciiTheme="majorHAnsi" w:hAnsi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Bezprzewodowy przycisk nożny do włączania promieniowania z możliwością zapisu obrazów do pamięci</w:t>
            </w:r>
          </w:p>
        </w:tc>
        <w:tc>
          <w:tcPr>
            <w:tcW w:w="2128" w:type="dxa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 w:cs="Calibri"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sz w:val="22"/>
                <w:szCs w:val="22"/>
              </w:rPr>
              <w:t>Zasilanie przycisku nożnego – bateryjne, bez konieczności ładowania, umożliwiające pracę przez min. 365 dni. Wymiana baterii bez konieczności wzywania serwisu.</w:t>
            </w:r>
          </w:p>
          <w:p w:rsidR="004369F3" w:rsidRPr="00173C4E" w:rsidRDefault="004369F3" w:rsidP="004369F3">
            <w:pPr>
              <w:pStyle w:val="Bezodstpw"/>
              <w:rPr>
                <w:rFonts w:asciiTheme="majorHAnsi" w:hAnsiTheme="majorHAnsi" w:cs="Calibri"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sz w:val="22"/>
                <w:szCs w:val="22"/>
              </w:rPr>
              <w:t>Brak konieczności parowania przełącznika nożnego po włączeniu aparatu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Szerokość wózka z ramieniem C</w:t>
            </w:r>
            <w:r w:rsidR="008455E7" w:rsidRPr="00173C4E">
              <w:rPr>
                <w:rFonts w:asciiTheme="majorHAnsi" w:hAnsiTheme="majorHAnsi"/>
                <w:sz w:val="22"/>
                <w:szCs w:val="22"/>
              </w:rPr>
              <w:t xml:space="preserve"> ≤ 80 cm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Masa wózka z ramieniem C – całości przemieszczanej między salami na bloku (bez wózka monitorów)</w:t>
            </w:r>
            <w:r w:rsidR="008455E7" w:rsidRPr="00173C4E">
              <w:rPr>
                <w:rFonts w:asciiTheme="majorHAnsi" w:hAnsiTheme="majorHAnsi"/>
                <w:sz w:val="22"/>
                <w:szCs w:val="22"/>
              </w:rPr>
              <w:t xml:space="preserve"> ≤ 315 kg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  <w:p w:rsidR="008455E7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8455E7" w:rsidRPr="00173C4E" w:rsidRDefault="008455E7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≤ 280 kg – </w:t>
            </w:r>
            <w:r w:rsidR="00940BB1" w:rsidRPr="00173C4E">
              <w:rPr>
                <w:rFonts w:asciiTheme="majorHAnsi" w:hAnsiTheme="majorHAnsi"/>
                <w:sz w:val="22"/>
                <w:szCs w:val="22"/>
              </w:rPr>
              <w:t>2</w:t>
            </w:r>
            <w:r w:rsidRPr="00173C4E">
              <w:rPr>
                <w:rFonts w:asciiTheme="majorHAnsi" w:hAnsiTheme="majorHAnsi"/>
                <w:sz w:val="22"/>
                <w:szCs w:val="22"/>
              </w:rPr>
              <w:t xml:space="preserve"> pkt</w:t>
            </w:r>
          </w:p>
          <w:p w:rsidR="008455E7" w:rsidRPr="00173C4E" w:rsidRDefault="008455E7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&gt; 280 kg–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Maksymalna częstotliwość pracy generatora min. 40 kHz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Moc generatora RTG</w:t>
            </w:r>
            <w:r w:rsidR="00C62B3D" w:rsidRPr="00173C4E">
              <w:rPr>
                <w:rFonts w:asciiTheme="majorHAnsi" w:hAnsiTheme="majorHAnsi"/>
                <w:sz w:val="22"/>
                <w:szCs w:val="22"/>
              </w:rPr>
              <w:t xml:space="preserve"> Min. 2,0 kW – max. 3 kW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C45B92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Akwizycja ≥ 25 obrazów/s podczas fluoroskopii ciągłej lub impulsowej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Fluoroskopia pulsacyjna min. od 2 p/s do 15 p/s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Radiografia cyfrowa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Maksymalne napięcie w trybie fluoroskopii i radiografii</w:t>
            </w:r>
            <w:r w:rsidR="002D0F79" w:rsidRPr="00173C4E">
              <w:rPr>
                <w:rFonts w:asciiTheme="majorHAnsi" w:hAnsiTheme="majorHAnsi"/>
                <w:sz w:val="22"/>
                <w:szCs w:val="22"/>
              </w:rPr>
              <w:t xml:space="preserve"> ≥ 110 </w:t>
            </w:r>
            <w:proofErr w:type="spellStart"/>
            <w:r w:rsidR="002D0F79" w:rsidRPr="00173C4E">
              <w:rPr>
                <w:rFonts w:asciiTheme="majorHAnsi" w:hAnsiTheme="majorHAnsi"/>
                <w:sz w:val="22"/>
                <w:szCs w:val="22"/>
              </w:rPr>
              <w:t>kV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2D0F79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  <w:p w:rsidR="002D0F79" w:rsidRPr="00173C4E" w:rsidRDefault="002D0F79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Maksymalny prąd dla fluoroskopii pulsacyjnej</w:t>
            </w:r>
            <w:r w:rsidR="002D0F79" w:rsidRPr="00173C4E">
              <w:rPr>
                <w:rFonts w:asciiTheme="majorHAnsi" w:hAnsiTheme="majorHAnsi"/>
                <w:sz w:val="22"/>
                <w:szCs w:val="22"/>
              </w:rPr>
              <w:t xml:space="preserve"> ≥ 20 </w:t>
            </w:r>
            <w:proofErr w:type="spellStart"/>
            <w:r w:rsidR="002D0F79" w:rsidRPr="00173C4E">
              <w:rPr>
                <w:rFonts w:asciiTheme="majorHAnsi" w:hAnsiTheme="majorHAnsi"/>
                <w:sz w:val="22"/>
                <w:szCs w:val="22"/>
              </w:rPr>
              <w:t>mA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2D0F79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  <w:p w:rsidR="002D0F79" w:rsidRPr="00173C4E" w:rsidRDefault="002D0F79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2D0F79" w:rsidRPr="00173C4E" w:rsidRDefault="002D0F79" w:rsidP="002D0F79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≥ 24 </w:t>
            </w:r>
            <w:proofErr w:type="spellStart"/>
            <w:r w:rsidRPr="00173C4E">
              <w:rPr>
                <w:rFonts w:asciiTheme="majorHAnsi" w:hAnsiTheme="majorHAnsi"/>
                <w:sz w:val="22"/>
                <w:szCs w:val="22"/>
              </w:rPr>
              <w:t>mA</w:t>
            </w:r>
            <w:proofErr w:type="spellEnd"/>
            <w:r w:rsidRPr="00173C4E">
              <w:rPr>
                <w:rFonts w:asciiTheme="majorHAnsi" w:hAnsiTheme="majorHAnsi"/>
                <w:sz w:val="22"/>
                <w:szCs w:val="22"/>
              </w:rPr>
              <w:t xml:space="preserve"> – </w:t>
            </w:r>
            <w:r w:rsidR="00940BB1" w:rsidRPr="00173C4E">
              <w:rPr>
                <w:rFonts w:asciiTheme="majorHAnsi" w:hAnsiTheme="majorHAnsi"/>
                <w:sz w:val="22"/>
                <w:szCs w:val="22"/>
              </w:rPr>
              <w:t>2</w:t>
            </w:r>
            <w:r w:rsidRPr="00173C4E">
              <w:rPr>
                <w:rFonts w:asciiTheme="majorHAnsi" w:hAnsiTheme="majorHAnsi"/>
                <w:sz w:val="22"/>
                <w:szCs w:val="22"/>
              </w:rPr>
              <w:t xml:space="preserve"> pkt</w:t>
            </w:r>
          </w:p>
          <w:p w:rsidR="002D0F79" w:rsidRPr="00173C4E" w:rsidRDefault="002D0F79" w:rsidP="002D0F79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&lt; 24 </w:t>
            </w:r>
            <w:proofErr w:type="spellStart"/>
            <w:r w:rsidRPr="00173C4E">
              <w:rPr>
                <w:rFonts w:asciiTheme="majorHAnsi" w:hAnsiTheme="majorHAnsi"/>
                <w:sz w:val="22"/>
                <w:szCs w:val="22"/>
              </w:rPr>
              <w:t>mA</w:t>
            </w:r>
            <w:proofErr w:type="spellEnd"/>
            <w:r w:rsidRPr="00173C4E">
              <w:rPr>
                <w:rFonts w:asciiTheme="majorHAnsi" w:hAnsiTheme="majorHAnsi"/>
                <w:sz w:val="22"/>
                <w:szCs w:val="22"/>
              </w:rPr>
              <w:t xml:space="preserve">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Maksymalny prąd dla radiografii cyfrowej</w:t>
            </w:r>
            <w:r w:rsidR="002D0F79" w:rsidRPr="00173C4E">
              <w:rPr>
                <w:rFonts w:asciiTheme="majorHAnsi" w:hAnsiTheme="majorHAnsi"/>
                <w:sz w:val="22"/>
                <w:szCs w:val="22"/>
              </w:rPr>
              <w:t xml:space="preserve"> ≥ 24 </w:t>
            </w:r>
            <w:proofErr w:type="spellStart"/>
            <w:r w:rsidR="002D0F79" w:rsidRPr="00173C4E">
              <w:rPr>
                <w:rFonts w:asciiTheme="majorHAnsi" w:hAnsiTheme="majorHAnsi"/>
                <w:sz w:val="22"/>
                <w:szCs w:val="22"/>
              </w:rPr>
              <w:t>mA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2D0F79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TAK, podać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Maksymalny prąd dla fluoroskopii ciągłej</w:t>
            </w:r>
            <w:r w:rsidR="002D0F79" w:rsidRPr="00173C4E">
              <w:rPr>
                <w:rFonts w:asciiTheme="majorHAnsi" w:hAnsiTheme="majorHAnsi"/>
                <w:sz w:val="22"/>
                <w:szCs w:val="22"/>
              </w:rPr>
              <w:t xml:space="preserve"> ≥ 14 </w:t>
            </w:r>
            <w:proofErr w:type="spellStart"/>
            <w:r w:rsidR="002D0F79" w:rsidRPr="00173C4E">
              <w:rPr>
                <w:rFonts w:asciiTheme="majorHAnsi" w:hAnsiTheme="majorHAnsi"/>
                <w:sz w:val="22"/>
                <w:szCs w:val="22"/>
              </w:rPr>
              <w:t>mA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2D0F79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Automatyczny dobór parametrów dla fluoroskopii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2D0F79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Zasilanie generatora 230V +/-10%, 50Hz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2D0F79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Lampa </w:t>
            </w:r>
            <w:r w:rsidR="00457688">
              <w:rPr>
                <w:rFonts w:asciiTheme="majorHAnsi" w:hAnsiTheme="majorHAnsi"/>
                <w:sz w:val="22"/>
                <w:szCs w:val="22"/>
              </w:rPr>
              <w:t>RTG</w:t>
            </w:r>
            <w:r w:rsidRPr="00173C4E">
              <w:rPr>
                <w:rFonts w:asciiTheme="majorHAnsi" w:hAnsiTheme="majorHAnsi"/>
                <w:sz w:val="22"/>
                <w:szCs w:val="22"/>
              </w:rPr>
              <w:t xml:space="preserve"> z anodą stacjonarną,</w:t>
            </w:r>
          </w:p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jedno lub dwuogniskowa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2D0F79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  <w:p w:rsidR="002D0F79" w:rsidRPr="00173C4E" w:rsidRDefault="002D0F79" w:rsidP="002D0F79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2D0F79" w:rsidRPr="00173C4E" w:rsidRDefault="002D0F79" w:rsidP="002D0F79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Jednoogniskowa – 0 pkt</w:t>
            </w:r>
          </w:p>
          <w:p w:rsidR="002D0F79" w:rsidRPr="00173C4E" w:rsidRDefault="002D0F79" w:rsidP="002D0F79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Dwuogniskowa – </w:t>
            </w:r>
            <w:r w:rsidR="00940BB1" w:rsidRPr="00173C4E">
              <w:rPr>
                <w:rFonts w:asciiTheme="majorHAnsi" w:hAnsiTheme="majorHAnsi"/>
                <w:sz w:val="22"/>
                <w:szCs w:val="22"/>
              </w:rPr>
              <w:t>2</w:t>
            </w:r>
            <w:r w:rsidRPr="00173C4E">
              <w:rPr>
                <w:rFonts w:asciiTheme="majorHAnsi" w:hAnsiTheme="majorHAnsi"/>
                <w:sz w:val="22"/>
                <w:szCs w:val="22"/>
              </w:rPr>
              <w:t xml:space="preserve">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Wielkość pojedynczego ogniska lub małego ogniska w przypadku lampy dwuogniskowej</w:t>
            </w:r>
            <w:r w:rsidR="00637C20" w:rsidRPr="00173C4E">
              <w:rPr>
                <w:rFonts w:asciiTheme="majorHAnsi" w:hAnsiTheme="majorHAnsi"/>
                <w:sz w:val="22"/>
                <w:szCs w:val="22"/>
              </w:rPr>
              <w:t xml:space="preserve"> ≤ 0,6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Wielkość dużego ogniska (w przypadku lampy dwuogniskowej)</w:t>
            </w:r>
            <w:r w:rsidR="00637C20" w:rsidRPr="00173C4E">
              <w:rPr>
                <w:rFonts w:asciiTheme="majorHAnsi" w:hAnsiTheme="majorHAnsi"/>
                <w:sz w:val="22"/>
                <w:szCs w:val="22"/>
              </w:rPr>
              <w:t xml:space="preserve"> ≤ 1,2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  <w:p w:rsidR="00637C20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637C20" w:rsidRPr="00173C4E" w:rsidRDefault="00637C20" w:rsidP="00637C2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≤ 1,0 –</w:t>
            </w:r>
            <w:r w:rsidR="00940BB1" w:rsidRPr="00173C4E">
              <w:rPr>
                <w:rFonts w:asciiTheme="majorHAnsi" w:hAnsiTheme="majorHAnsi"/>
                <w:sz w:val="22"/>
                <w:szCs w:val="22"/>
              </w:rPr>
              <w:t xml:space="preserve">2 </w:t>
            </w:r>
            <w:r w:rsidRPr="00173C4E">
              <w:rPr>
                <w:rFonts w:asciiTheme="majorHAnsi" w:hAnsiTheme="majorHAnsi"/>
                <w:sz w:val="22"/>
                <w:szCs w:val="22"/>
              </w:rPr>
              <w:t>pkt</w:t>
            </w:r>
          </w:p>
          <w:p w:rsidR="00637C20" w:rsidRPr="00173C4E" w:rsidRDefault="00637C20" w:rsidP="00637C2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&gt; 1,0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Całkowita filtracja wewnętrzna</w:t>
            </w:r>
            <w:r w:rsidR="00637C20" w:rsidRPr="00173C4E">
              <w:rPr>
                <w:rFonts w:asciiTheme="majorHAnsi" w:hAnsiTheme="majorHAnsi"/>
                <w:sz w:val="22"/>
                <w:szCs w:val="22"/>
              </w:rPr>
              <w:t xml:space="preserve"> ≥ 3,0 mm Al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  <w:p w:rsidR="00637C20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637C20" w:rsidRPr="00173C4E" w:rsidRDefault="00637C20" w:rsidP="00637C2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≥ 7,5 mm Al – </w:t>
            </w:r>
            <w:r w:rsidR="00940BB1" w:rsidRPr="00173C4E">
              <w:rPr>
                <w:rFonts w:asciiTheme="majorHAnsi" w:hAnsiTheme="majorHAnsi"/>
                <w:sz w:val="22"/>
                <w:szCs w:val="22"/>
              </w:rPr>
              <w:t>2</w:t>
            </w:r>
            <w:r w:rsidRPr="00173C4E">
              <w:rPr>
                <w:rFonts w:asciiTheme="majorHAnsi" w:hAnsiTheme="majorHAnsi"/>
                <w:sz w:val="22"/>
                <w:szCs w:val="22"/>
              </w:rPr>
              <w:t xml:space="preserve"> pkt</w:t>
            </w:r>
          </w:p>
          <w:p w:rsidR="00637C20" w:rsidRPr="00173C4E" w:rsidRDefault="00637C20" w:rsidP="00637C2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&lt; 7,5 mm Al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Kolimator szczelinowy z nieograniczonym obrotem</w:t>
            </w:r>
          </w:p>
        </w:tc>
        <w:tc>
          <w:tcPr>
            <w:tcW w:w="2128" w:type="dxa"/>
            <w:vAlign w:val="center"/>
          </w:tcPr>
          <w:p w:rsidR="008455E7" w:rsidRPr="00173C4E" w:rsidRDefault="008455E7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</w:t>
            </w:r>
            <w:r w:rsidR="00637C20" w:rsidRPr="00173C4E">
              <w:rPr>
                <w:rFonts w:asciiTheme="majorHAnsi" w:hAnsi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Kolimator koncentryczny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Ustawienie kolimatora bez promieniowania poprzez wyświetlanie na obrazie LIH aktualnego położenia krawędzi przesłon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Pojemność cieplna anody</w:t>
            </w:r>
            <w:r w:rsidR="00637C20" w:rsidRPr="00173C4E">
              <w:rPr>
                <w:rFonts w:asciiTheme="majorHAnsi" w:hAnsiTheme="majorHAnsi"/>
                <w:sz w:val="22"/>
                <w:szCs w:val="22"/>
              </w:rPr>
              <w:t xml:space="preserve"> ≥ 75 </w:t>
            </w:r>
            <w:proofErr w:type="spellStart"/>
            <w:r w:rsidR="00637C20" w:rsidRPr="00173C4E">
              <w:rPr>
                <w:rFonts w:asciiTheme="majorHAnsi" w:hAnsiTheme="majorHAnsi"/>
                <w:sz w:val="22"/>
                <w:szCs w:val="22"/>
              </w:rPr>
              <w:t>kHU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  <w:p w:rsidR="00637C20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637C20" w:rsidRPr="00173C4E" w:rsidRDefault="00637C20" w:rsidP="00637C2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≥ 100 </w:t>
            </w:r>
            <w:proofErr w:type="spellStart"/>
            <w:r w:rsidRPr="00173C4E">
              <w:rPr>
                <w:rFonts w:asciiTheme="majorHAnsi" w:hAnsiTheme="majorHAnsi"/>
                <w:sz w:val="22"/>
                <w:szCs w:val="22"/>
              </w:rPr>
              <w:t>kHU</w:t>
            </w:r>
            <w:proofErr w:type="spellEnd"/>
            <w:r w:rsidRPr="00173C4E">
              <w:rPr>
                <w:rFonts w:asciiTheme="majorHAnsi" w:hAnsiTheme="majorHAnsi"/>
                <w:sz w:val="22"/>
                <w:szCs w:val="22"/>
              </w:rPr>
              <w:t xml:space="preserve"> – </w:t>
            </w:r>
            <w:r w:rsidR="00940BB1" w:rsidRPr="00173C4E">
              <w:rPr>
                <w:rFonts w:asciiTheme="majorHAnsi" w:hAnsiTheme="majorHAnsi"/>
                <w:sz w:val="22"/>
                <w:szCs w:val="22"/>
              </w:rPr>
              <w:t xml:space="preserve">1 </w:t>
            </w:r>
            <w:r w:rsidRPr="00173C4E">
              <w:rPr>
                <w:rFonts w:asciiTheme="majorHAnsi" w:hAnsiTheme="majorHAnsi"/>
                <w:sz w:val="22"/>
                <w:szCs w:val="22"/>
              </w:rPr>
              <w:t>pkt</w:t>
            </w:r>
          </w:p>
          <w:p w:rsidR="00637C20" w:rsidRPr="00173C4E" w:rsidRDefault="00637C20" w:rsidP="00637C2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&lt; 100 </w:t>
            </w:r>
            <w:proofErr w:type="spellStart"/>
            <w:r w:rsidRPr="00173C4E">
              <w:rPr>
                <w:rFonts w:asciiTheme="majorHAnsi" w:hAnsiTheme="majorHAnsi"/>
                <w:sz w:val="22"/>
                <w:szCs w:val="22"/>
              </w:rPr>
              <w:t>kHU</w:t>
            </w:r>
            <w:proofErr w:type="spellEnd"/>
            <w:r w:rsidRPr="00173C4E">
              <w:rPr>
                <w:rFonts w:asciiTheme="majorHAnsi" w:hAnsiTheme="majorHAnsi"/>
                <w:sz w:val="22"/>
                <w:szCs w:val="22"/>
              </w:rPr>
              <w:t xml:space="preserve">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Pojemność cieplna kołpaka</w:t>
            </w:r>
            <w:r w:rsidR="00637C20" w:rsidRPr="00173C4E">
              <w:rPr>
                <w:rFonts w:asciiTheme="majorHAnsi" w:hAnsiTheme="majorHAnsi"/>
                <w:sz w:val="22"/>
                <w:szCs w:val="22"/>
              </w:rPr>
              <w:t xml:space="preserve"> ≥ 1000 </w:t>
            </w:r>
            <w:proofErr w:type="spellStart"/>
            <w:r w:rsidR="00637C20" w:rsidRPr="00173C4E">
              <w:rPr>
                <w:rFonts w:asciiTheme="majorHAnsi" w:hAnsiTheme="majorHAnsi"/>
                <w:sz w:val="22"/>
                <w:szCs w:val="22"/>
              </w:rPr>
              <w:t>kHU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  <w:p w:rsidR="00637C20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637C20" w:rsidRPr="00173C4E" w:rsidRDefault="00637C20" w:rsidP="00637C2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≥ 1100 </w:t>
            </w:r>
            <w:proofErr w:type="spellStart"/>
            <w:r w:rsidRPr="00173C4E">
              <w:rPr>
                <w:rFonts w:asciiTheme="majorHAnsi" w:hAnsiTheme="majorHAnsi"/>
                <w:sz w:val="22"/>
                <w:szCs w:val="22"/>
              </w:rPr>
              <w:t>kHU</w:t>
            </w:r>
            <w:proofErr w:type="spellEnd"/>
            <w:r w:rsidRPr="00173C4E">
              <w:rPr>
                <w:rFonts w:asciiTheme="majorHAnsi" w:hAnsiTheme="majorHAnsi"/>
                <w:sz w:val="22"/>
                <w:szCs w:val="22"/>
              </w:rPr>
              <w:t xml:space="preserve"> – </w:t>
            </w:r>
            <w:r w:rsidR="00940BB1" w:rsidRPr="00173C4E">
              <w:rPr>
                <w:rFonts w:asciiTheme="majorHAnsi" w:hAnsiTheme="majorHAnsi"/>
                <w:sz w:val="22"/>
                <w:szCs w:val="22"/>
              </w:rPr>
              <w:t>1</w:t>
            </w:r>
            <w:r w:rsidRPr="00173C4E">
              <w:rPr>
                <w:rFonts w:asciiTheme="majorHAnsi" w:hAnsiTheme="majorHAnsi"/>
                <w:sz w:val="22"/>
                <w:szCs w:val="22"/>
              </w:rPr>
              <w:t xml:space="preserve"> pkt</w:t>
            </w:r>
          </w:p>
          <w:p w:rsidR="00637C20" w:rsidRPr="00173C4E" w:rsidRDefault="00637C20" w:rsidP="00637C2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&lt; 1100 </w:t>
            </w:r>
            <w:proofErr w:type="spellStart"/>
            <w:r w:rsidRPr="00173C4E">
              <w:rPr>
                <w:rFonts w:asciiTheme="majorHAnsi" w:hAnsiTheme="majorHAnsi"/>
                <w:sz w:val="22"/>
                <w:szCs w:val="22"/>
              </w:rPr>
              <w:t>kHU</w:t>
            </w:r>
            <w:proofErr w:type="spellEnd"/>
            <w:r w:rsidRPr="00173C4E">
              <w:rPr>
                <w:rFonts w:asciiTheme="majorHAnsi" w:hAnsiTheme="majorHAnsi"/>
                <w:sz w:val="22"/>
                <w:szCs w:val="22"/>
              </w:rPr>
              <w:t xml:space="preserve">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Szybkość chłodzenia anody</w:t>
            </w:r>
            <w:r w:rsidR="00637C20" w:rsidRPr="00173C4E">
              <w:rPr>
                <w:rFonts w:asciiTheme="majorHAnsi" w:hAnsiTheme="majorHAnsi"/>
                <w:sz w:val="22"/>
                <w:szCs w:val="22"/>
              </w:rPr>
              <w:t xml:space="preserve"> ≥ 50 </w:t>
            </w:r>
            <w:proofErr w:type="spellStart"/>
            <w:r w:rsidR="00637C20" w:rsidRPr="00173C4E">
              <w:rPr>
                <w:rFonts w:asciiTheme="majorHAnsi" w:hAnsiTheme="majorHAnsi"/>
                <w:sz w:val="22"/>
                <w:szCs w:val="22"/>
              </w:rPr>
              <w:t>kHU</w:t>
            </w:r>
            <w:proofErr w:type="spellEnd"/>
            <w:r w:rsidR="00637C20" w:rsidRPr="00173C4E">
              <w:rPr>
                <w:rFonts w:asciiTheme="majorHAnsi" w:hAnsiTheme="majorHAnsi"/>
                <w:sz w:val="22"/>
                <w:szCs w:val="22"/>
              </w:rPr>
              <w:t>/min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Wielkość detektora cyfrowego</w:t>
            </w:r>
            <w:r w:rsidR="00637C20" w:rsidRPr="00173C4E">
              <w:rPr>
                <w:rFonts w:asciiTheme="majorHAnsi" w:hAnsiTheme="majorHAnsi"/>
                <w:sz w:val="22"/>
                <w:szCs w:val="22"/>
              </w:rPr>
              <w:t xml:space="preserve"> ≥ 20 x 20 cm</w:t>
            </w:r>
          </w:p>
        </w:tc>
        <w:tc>
          <w:tcPr>
            <w:tcW w:w="2128" w:type="dxa"/>
            <w:vAlign w:val="center"/>
          </w:tcPr>
          <w:p w:rsidR="008455E7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Liczba pól obrazowych</w:t>
            </w:r>
            <w:r w:rsidR="00637C20" w:rsidRPr="00173C4E">
              <w:rPr>
                <w:rFonts w:asciiTheme="majorHAnsi" w:hAnsiTheme="majorHAnsi"/>
                <w:sz w:val="22"/>
                <w:szCs w:val="22"/>
              </w:rPr>
              <w:t xml:space="preserve"> ≥ 3</w:t>
            </w:r>
          </w:p>
        </w:tc>
        <w:tc>
          <w:tcPr>
            <w:tcW w:w="2128" w:type="dxa"/>
            <w:vAlign w:val="center"/>
          </w:tcPr>
          <w:p w:rsidR="008455E7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Współczynnik DQE</w:t>
            </w:r>
            <w:r w:rsidR="00637C20" w:rsidRPr="00173C4E">
              <w:rPr>
                <w:rFonts w:asciiTheme="majorHAnsi" w:hAnsiTheme="majorHAnsi"/>
                <w:sz w:val="22"/>
                <w:szCs w:val="22"/>
              </w:rPr>
              <w:t xml:space="preserve"> ≥ 80%</w:t>
            </w:r>
          </w:p>
        </w:tc>
        <w:tc>
          <w:tcPr>
            <w:tcW w:w="2128" w:type="dxa"/>
            <w:vAlign w:val="center"/>
          </w:tcPr>
          <w:p w:rsidR="008455E7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637C20" w:rsidRPr="00173C4E" w:rsidRDefault="008455E7" w:rsidP="00637C2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Rozdzielczość detektora</w:t>
            </w:r>
            <w:r w:rsidR="00637C20" w:rsidRPr="00173C4E">
              <w:rPr>
                <w:rFonts w:asciiTheme="majorHAnsi" w:hAnsiTheme="majorHAnsi"/>
                <w:sz w:val="22"/>
                <w:szCs w:val="22"/>
              </w:rPr>
              <w:t xml:space="preserve"> ≥ 1000 x 1000</w:t>
            </w:r>
          </w:p>
          <w:p w:rsidR="008455E7" w:rsidRPr="00173C4E" w:rsidRDefault="00637C20" w:rsidP="00637C2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pikseli</w:t>
            </w:r>
          </w:p>
        </w:tc>
        <w:tc>
          <w:tcPr>
            <w:tcW w:w="2128" w:type="dxa"/>
            <w:vAlign w:val="center"/>
          </w:tcPr>
          <w:p w:rsidR="008455E7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Głębia obrazu</w:t>
            </w:r>
            <w:r w:rsidR="007D77F2" w:rsidRPr="00173C4E">
              <w:rPr>
                <w:rFonts w:asciiTheme="majorHAnsi" w:hAnsiTheme="majorHAnsi"/>
                <w:sz w:val="22"/>
                <w:szCs w:val="22"/>
              </w:rPr>
              <w:t xml:space="preserve"> ≥ 16 bit</w:t>
            </w:r>
          </w:p>
        </w:tc>
        <w:tc>
          <w:tcPr>
            <w:tcW w:w="2128" w:type="dxa"/>
            <w:vAlign w:val="center"/>
          </w:tcPr>
          <w:p w:rsidR="008455E7" w:rsidRPr="00173C4E" w:rsidRDefault="007D77F2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173C4E">
              <w:rPr>
                <w:rFonts w:asciiTheme="majorHAnsi" w:hAnsiTheme="majorHAnsi"/>
                <w:sz w:val="22"/>
                <w:szCs w:val="22"/>
                <w:lang w:val="en-US"/>
              </w:rPr>
              <w:t>Funkcja</w:t>
            </w:r>
            <w:proofErr w:type="spellEnd"/>
            <w:r w:rsidRPr="00173C4E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LIH (Last Image Hold)</w:t>
            </w:r>
          </w:p>
        </w:tc>
        <w:tc>
          <w:tcPr>
            <w:tcW w:w="2128" w:type="dxa"/>
            <w:vAlign w:val="center"/>
          </w:tcPr>
          <w:p w:rsidR="008455E7" w:rsidRPr="00173C4E" w:rsidRDefault="008455E7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</w:t>
            </w:r>
            <w:r w:rsidR="007D77F2" w:rsidRPr="00173C4E">
              <w:rPr>
                <w:rFonts w:asciiTheme="majorHAnsi" w:hAnsi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nil"/>
            </w:tcBorders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Wyświetlanie mozaiki obrazów min. 16 obrazów</w:t>
            </w:r>
          </w:p>
        </w:tc>
        <w:tc>
          <w:tcPr>
            <w:tcW w:w="2128" w:type="dxa"/>
            <w:tcBorders>
              <w:top w:val="nil"/>
            </w:tcBorders>
            <w:vAlign w:val="center"/>
          </w:tcPr>
          <w:p w:rsidR="008455E7" w:rsidRPr="00173C4E" w:rsidRDefault="007D77F2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Obraz lustrzany (obracanie obrazu na monitorze góra/dół, lewo/prawo)</w:t>
            </w:r>
          </w:p>
        </w:tc>
        <w:tc>
          <w:tcPr>
            <w:tcW w:w="2128" w:type="dxa"/>
            <w:vAlign w:val="center"/>
          </w:tcPr>
          <w:p w:rsidR="008455E7" w:rsidRPr="00173C4E" w:rsidRDefault="007D77F2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Cyfrowe powiększenie obrazu</w:t>
            </w:r>
          </w:p>
        </w:tc>
        <w:tc>
          <w:tcPr>
            <w:tcW w:w="2128" w:type="dxa"/>
            <w:vAlign w:val="center"/>
          </w:tcPr>
          <w:p w:rsidR="008455E7" w:rsidRPr="00173C4E" w:rsidRDefault="007D77F2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Wzmocnienie krawędzi i redukcja szumów</w:t>
            </w:r>
          </w:p>
        </w:tc>
        <w:tc>
          <w:tcPr>
            <w:tcW w:w="2128" w:type="dxa"/>
            <w:vAlign w:val="center"/>
          </w:tcPr>
          <w:p w:rsidR="008455E7" w:rsidRPr="00173C4E" w:rsidRDefault="007D77F2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System nanoszenia opisów z możliwością oznaczenia strony ciała</w:t>
            </w:r>
          </w:p>
        </w:tc>
        <w:tc>
          <w:tcPr>
            <w:tcW w:w="2128" w:type="dxa"/>
            <w:vAlign w:val="center"/>
          </w:tcPr>
          <w:p w:rsidR="007D77F2" w:rsidRPr="00173C4E" w:rsidRDefault="007D77F2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  <w:highlight w:val="green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Pomiar kątów i odległości</w:t>
            </w:r>
          </w:p>
        </w:tc>
        <w:tc>
          <w:tcPr>
            <w:tcW w:w="2128" w:type="dxa"/>
            <w:vAlign w:val="center"/>
          </w:tcPr>
          <w:p w:rsidR="007D77F2" w:rsidRPr="00173C4E" w:rsidRDefault="007D77F2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System wpisywania danych pacjenta.</w:t>
            </w:r>
          </w:p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Możliwość wprowadzenia danych pacjenta z pulpitu dotykowego na ramieniu C</w:t>
            </w:r>
          </w:p>
        </w:tc>
        <w:tc>
          <w:tcPr>
            <w:tcW w:w="2128" w:type="dxa"/>
            <w:vAlign w:val="center"/>
          </w:tcPr>
          <w:p w:rsidR="007D77F2" w:rsidRPr="00173C4E" w:rsidRDefault="007D77F2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System zarządzania bazą danych z badaniami</w:t>
            </w:r>
          </w:p>
        </w:tc>
        <w:tc>
          <w:tcPr>
            <w:tcW w:w="2128" w:type="dxa"/>
            <w:vAlign w:val="center"/>
          </w:tcPr>
          <w:p w:rsidR="007D77F2" w:rsidRPr="00173C4E" w:rsidRDefault="007D77F2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Liczba monitorów minimum dwa</w:t>
            </w:r>
          </w:p>
        </w:tc>
        <w:tc>
          <w:tcPr>
            <w:tcW w:w="2128" w:type="dxa"/>
            <w:vAlign w:val="center"/>
          </w:tcPr>
          <w:p w:rsidR="007D77F2" w:rsidRPr="00173C4E" w:rsidRDefault="007D77F2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Monitory umieszczone na oddzielnym wózku, każdy o przekątnej min. 19” i rozdzielczości min. 1280x1024</w:t>
            </w:r>
          </w:p>
        </w:tc>
        <w:tc>
          <w:tcPr>
            <w:tcW w:w="2128" w:type="dxa"/>
            <w:vAlign w:val="center"/>
          </w:tcPr>
          <w:p w:rsidR="007D77F2" w:rsidRPr="00173C4E" w:rsidRDefault="007D77F2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Maksymalna luminancja monitorów</w:t>
            </w:r>
            <w:r w:rsidR="00AA5D53" w:rsidRPr="00173C4E">
              <w:rPr>
                <w:rFonts w:asciiTheme="majorHAnsi" w:hAnsiTheme="majorHAnsi"/>
                <w:sz w:val="22"/>
                <w:szCs w:val="22"/>
              </w:rPr>
              <w:t xml:space="preserve"> ≥ 650 cd/m2</w:t>
            </w:r>
          </w:p>
        </w:tc>
        <w:tc>
          <w:tcPr>
            <w:tcW w:w="2128" w:type="dxa"/>
            <w:vAlign w:val="center"/>
          </w:tcPr>
          <w:p w:rsidR="007D77F2" w:rsidRPr="00173C4E" w:rsidRDefault="00AA5D53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Style w:val="FontStyle58"/>
                <w:rFonts w:asciiTheme="majorHAnsi" w:hAnsiTheme="majorHAnsi" w:cs="Arial"/>
                <w:sz w:val="22"/>
                <w:szCs w:val="22"/>
              </w:rPr>
            </w:pPr>
            <w:r w:rsidRPr="00173C4E">
              <w:rPr>
                <w:rStyle w:val="FontStyle58"/>
                <w:rFonts w:asciiTheme="majorHAnsi" w:hAnsiTheme="majorHAnsi" w:cs="Arial"/>
                <w:sz w:val="22"/>
                <w:szCs w:val="22"/>
              </w:rPr>
              <w:t>Maksymalna luminancja monitorów skalibrowanych do krzywej DICOM</w:t>
            </w:r>
            <w:r w:rsidR="00AA5D53" w:rsidRPr="00173C4E">
              <w:rPr>
                <w:rStyle w:val="FontStyle58"/>
                <w:rFonts w:asciiTheme="majorHAnsi" w:hAnsiTheme="majorHAnsi" w:cs="Arial"/>
                <w:sz w:val="22"/>
                <w:szCs w:val="22"/>
              </w:rPr>
              <w:t xml:space="preserve"> ≥ 400 cd/m2</w:t>
            </w:r>
          </w:p>
        </w:tc>
        <w:tc>
          <w:tcPr>
            <w:tcW w:w="2128" w:type="dxa"/>
            <w:vAlign w:val="center"/>
          </w:tcPr>
          <w:p w:rsidR="007D77F2" w:rsidRPr="00173C4E" w:rsidRDefault="00AA5D53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Style w:val="FontStyle58"/>
                <w:rFonts w:asciiTheme="majorHAnsi" w:hAnsiTheme="majorHAnsi" w:cs="Arial"/>
                <w:sz w:val="22"/>
                <w:szCs w:val="22"/>
              </w:rPr>
            </w:pPr>
            <w:r w:rsidRPr="00173C4E">
              <w:rPr>
                <w:rStyle w:val="FontStyle58"/>
                <w:rFonts w:asciiTheme="majorHAnsi" w:hAnsiTheme="majorHAnsi" w:cs="Arial"/>
                <w:sz w:val="22"/>
                <w:szCs w:val="22"/>
              </w:rPr>
              <w:t>Kontrast monitora</w:t>
            </w:r>
            <w:r w:rsidR="00AA5D53" w:rsidRPr="00173C4E">
              <w:rPr>
                <w:rStyle w:val="FontStyle58"/>
                <w:rFonts w:asciiTheme="majorHAnsi" w:hAnsiTheme="majorHAnsi" w:cs="Arial"/>
                <w:sz w:val="22"/>
                <w:szCs w:val="22"/>
              </w:rPr>
              <w:t xml:space="preserve"> ≥ 1000:1</w:t>
            </w:r>
          </w:p>
        </w:tc>
        <w:tc>
          <w:tcPr>
            <w:tcW w:w="2128" w:type="dxa"/>
            <w:vAlign w:val="center"/>
          </w:tcPr>
          <w:p w:rsidR="007D77F2" w:rsidRPr="00173C4E" w:rsidRDefault="00AA5D53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/>
                <w:bCs/>
                <w:sz w:val="22"/>
                <w:szCs w:val="22"/>
              </w:rPr>
              <w:t>Kąt widzenia monitora (poziomy/pionowy)</w:t>
            </w:r>
            <w:r w:rsidR="00AA5D53" w:rsidRPr="00173C4E">
              <w:rPr>
                <w:rFonts w:asciiTheme="majorHAnsi" w:hAnsiTheme="majorHAnsi"/>
                <w:bCs/>
                <w:sz w:val="22"/>
                <w:szCs w:val="22"/>
              </w:rPr>
              <w:t xml:space="preserve"> ≥</w:t>
            </w:r>
            <w:r w:rsidR="00AA5D53" w:rsidRPr="00173C4E">
              <w:rPr>
                <w:rFonts w:asciiTheme="majorHAnsi" w:hAnsiTheme="majorHAnsi"/>
                <w:sz w:val="22"/>
                <w:szCs w:val="22"/>
              </w:rPr>
              <w:t>178°/ 178°</w:t>
            </w:r>
          </w:p>
        </w:tc>
        <w:tc>
          <w:tcPr>
            <w:tcW w:w="2128" w:type="dxa"/>
            <w:vAlign w:val="center"/>
          </w:tcPr>
          <w:p w:rsidR="007D77F2" w:rsidRPr="00173C4E" w:rsidRDefault="00AA5D53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bCs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Wskaźnik włączonego promieniowania na wózku z monitorami</w:t>
            </w:r>
          </w:p>
        </w:tc>
        <w:tc>
          <w:tcPr>
            <w:tcW w:w="2128" w:type="dxa"/>
            <w:vAlign w:val="center"/>
          </w:tcPr>
          <w:p w:rsidR="007D77F2" w:rsidRPr="00173C4E" w:rsidRDefault="007D77F2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</w:t>
            </w:r>
            <w:r w:rsidR="00AA5D53" w:rsidRPr="00173C4E">
              <w:rPr>
                <w:rFonts w:asciiTheme="majorHAnsi" w:hAnsi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Wózek z monitorami może być odłączony od ramienia C na czas transportu.</w:t>
            </w:r>
          </w:p>
        </w:tc>
        <w:tc>
          <w:tcPr>
            <w:tcW w:w="2128" w:type="dxa"/>
            <w:vAlign w:val="center"/>
          </w:tcPr>
          <w:p w:rsidR="007D77F2" w:rsidRPr="00173C4E" w:rsidRDefault="007D77F2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</w:t>
            </w:r>
            <w:r w:rsidR="00AA5D53" w:rsidRPr="00173C4E">
              <w:rPr>
                <w:rFonts w:asciiTheme="majorHAnsi" w:hAnsi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173C4E">
              <w:rPr>
                <w:rFonts w:asciiTheme="majorHAnsi" w:hAnsiTheme="majorHAnsi"/>
                <w:sz w:val="22"/>
                <w:szCs w:val="22"/>
              </w:rPr>
              <w:t>Videoprinter</w:t>
            </w:r>
            <w:proofErr w:type="spellEnd"/>
            <w:r w:rsidRPr="00173C4E">
              <w:rPr>
                <w:rFonts w:asciiTheme="majorHAnsi" w:hAnsiTheme="majorHAnsi"/>
                <w:sz w:val="22"/>
                <w:szCs w:val="22"/>
              </w:rPr>
              <w:t xml:space="preserve"> na papier termiczny o szerokości min. 110 mm </w:t>
            </w:r>
          </w:p>
        </w:tc>
        <w:tc>
          <w:tcPr>
            <w:tcW w:w="2128" w:type="dxa"/>
            <w:vAlign w:val="center"/>
          </w:tcPr>
          <w:p w:rsidR="007D77F2" w:rsidRPr="00173C4E" w:rsidRDefault="007D77F2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</w:t>
            </w:r>
            <w:r w:rsidR="00AA5D53" w:rsidRPr="00173C4E">
              <w:rPr>
                <w:rFonts w:asciiTheme="majorHAnsi" w:hAnsi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Port USB 3.0 do archiwizacji w formacie DICOM oraz TIFF</w:t>
            </w:r>
          </w:p>
        </w:tc>
        <w:tc>
          <w:tcPr>
            <w:tcW w:w="2128" w:type="dxa"/>
            <w:vAlign w:val="center"/>
          </w:tcPr>
          <w:p w:rsidR="007D77F2" w:rsidRPr="00173C4E" w:rsidRDefault="007D77F2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</w:t>
            </w:r>
            <w:r w:rsidR="00AA5D53" w:rsidRPr="00173C4E">
              <w:rPr>
                <w:rFonts w:asciiTheme="majorHAnsi" w:hAnsi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Funkcjonalności sieciowe DICOM min.:</w:t>
            </w:r>
          </w:p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- DICOM </w:t>
            </w:r>
            <w:proofErr w:type="spellStart"/>
            <w:r w:rsidRPr="00173C4E">
              <w:rPr>
                <w:rFonts w:asciiTheme="majorHAnsi" w:hAnsiTheme="majorHAnsi"/>
                <w:sz w:val="22"/>
                <w:szCs w:val="22"/>
              </w:rPr>
              <w:t>Send</w:t>
            </w:r>
            <w:proofErr w:type="spellEnd"/>
          </w:p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173C4E">
              <w:rPr>
                <w:rFonts w:asciiTheme="majorHAnsi" w:hAnsiTheme="majorHAnsi"/>
                <w:sz w:val="22"/>
                <w:szCs w:val="22"/>
                <w:lang w:val="en-US"/>
              </w:rPr>
              <w:t>- DICOM Storage Commitment,</w:t>
            </w:r>
          </w:p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173C4E">
              <w:rPr>
                <w:rFonts w:asciiTheme="majorHAnsi" w:hAnsiTheme="majorHAnsi"/>
                <w:sz w:val="22"/>
                <w:szCs w:val="22"/>
                <w:lang w:val="en-US"/>
              </w:rPr>
              <w:t>- DICOM Worklist</w:t>
            </w:r>
          </w:p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</w:tc>
        <w:tc>
          <w:tcPr>
            <w:tcW w:w="2128" w:type="dxa"/>
            <w:vAlign w:val="center"/>
          </w:tcPr>
          <w:p w:rsidR="007D77F2" w:rsidRPr="00173C4E" w:rsidRDefault="007D77F2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</w:t>
            </w:r>
            <w:r w:rsidR="00AA5D53" w:rsidRPr="00173C4E">
              <w:rPr>
                <w:rFonts w:asciiTheme="majorHAnsi" w:hAnsi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Zintegrowany system monitorowania i wyświetlania dawki RTG</w:t>
            </w:r>
          </w:p>
        </w:tc>
        <w:tc>
          <w:tcPr>
            <w:tcW w:w="2128" w:type="dxa"/>
            <w:vAlign w:val="center"/>
          </w:tcPr>
          <w:p w:rsidR="007D77F2" w:rsidRPr="00173C4E" w:rsidRDefault="007D77F2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</w:t>
            </w:r>
            <w:r w:rsidR="00AA5D53" w:rsidRPr="00173C4E">
              <w:rPr>
                <w:rFonts w:asciiTheme="majorHAnsi" w:hAnsi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  <w:highlight w:val="green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Celownik laserowy zintegrowany z obudową detektora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D77F2" w:rsidRPr="00173C4E" w:rsidRDefault="007D77F2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</w:t>
            </w:r>
            <w:r w:rsidR="00AA5D53" w:rsidRPr="00173C4E">
              <w:rPr>
                <w:rFonts w:asciiTheme="majorHAnsi" w:hAnsiTheme="majorHAnsi"/>
                <w:sz w:val="22"/>
                <w:szCs w:val="22"/>
              </w:rPr>
              <w:t>AK, podać</w:t>
            </w:r>
          </w:p>
          <w:p w:rsidR="00AA5D53" w:rsidRPr="00173C4E" w:rsidRDefault="00AA5D53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Laser w kolorze: 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zielonym – 1 pkt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czerwonym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Wewnętrzny dysk twardy o pojemności nie mniejszej niż 150 000 obrazów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D77F2" w:rsidRPr="00173C4E" w:rsidRDefault="007D77F2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</w:t>
            </w:r>
            <w:r w:rsidR="00AA5D53" w:rsidRPr="00173C4E">
              <w:rPr>
                <w:rFonts w:asciiTheme="majorHAnsi" w:hAnsiTheme="majorHAnsi"/>
                <w:sz w:val="22"/>
                <w:szCs w:val="22"/>
              </w:rPr>
              <w:t>AK, podać</w:t>
            </w:r>
          </w:p>
          <w:p w:rsidR="00AA5D53" w:rsidRPr="00173C4E" w:rsidRDefault="00AA5D53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≥ 300 000 – 1 pkt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&lt; 300 000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5D5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D53" w:rsidRPr="00173C4E" w:rsidRDefault="00AA5D53" w:rsidP="00AA5D5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AA5D53" w:rsidRPr="00173C4E" w:rsidRDefault="00AA5D53" w:rsidP="00AA5D5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Pojemność dysku twardego SSD </w:t>
            </w:r>
          </w:p>
          <w:p w:rsidR="00AA5D53" w:rsidRPr="00173C4E" w:rsidRDefault="00AA5D53" w:rsidP="00AA5D5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min. 1 TB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53" w:rsidRPr="00173C4E" w:rsidRDefault="00AA5D53" w:rsidP="00AA5D5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5D5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D53" w:rsidRPr="00173C4E" w:rsidRDefault="00AA5D53" w:rsidP="00AA5D5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AA5D53" w:rsidRPr="00173C4E" w:rsidRDefault="00AA5D53" w:rsidP="00AA5D5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Zabezpieczenie danych poprzez możliwość szyfrowania dysku twardego, ochrona komputera przed możliwością zainstalowania niechcianego oprogramowania (np.: </w:t>
            </w:r>
            <w:proofErr w:type="spellStart"/>
            <w:r w:rsidRPr="00173C4E">
              <w:rPr>
                <w:rFonts w:asciiTheme="majorHAnsi" w:hAnsiTheme="majorHAnsi"/>
                <w:sz w:val="22"/>
                <w:szCs w:val="22"/>
              </w:rPr>
              <w:t>Whitelistning</w:t>
            </w:r>
            <w:proofErr w:type="spellEnd"/>
            <w:r w:rsidRPr="00173C4E">
              <w:rPr>
                <w:rFonts w:asciiTheme="majorHAnsi" w:hAnsiTheme="majorHAnsi"/>
                <w:sz w:val="22"/>
                <w:szCs w:val="22"/>
              </w:rPr>
              <w:t>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 / Nie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 – 1 pkt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53" w:rsidRPr="00173C4E" w:rsidRDefault="00AA5D53" w:rsidP="00AA5D5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5D5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D53" w:rsidRPr="00173C4E" w:rsidRDefault="00AA5D53" w:rsidP="00AA5D5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AA5D53" w:rsidRPr="00173C4E" w:rsidRDefault="00AA5D53" w:rsidP="00AA5D5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Wyświetlanie informacji na monitorze głównym o temperaturze lampy </w:t>
            </w:r>
            <w:r w:rsidR="00BE440D">
              <w:rPr>
                <w:rFonts w:asciiTheme="majorHAnsi" w:hAnsiTheme="majorHAnsi"/>
                <w:sz w:val="22"/>
                <w:szCs w:val="22"/>
              </w:rPr>
              <w:t>RTG</w:t>
            </w:r>
            <w:r w:rsidRPr="00173C4E">
              <w:rPr>
                <w:rFonts w:asciiTheme="majorHAnsi" w:hAnsiTheme="majorHAnsi"/>
                <w:sz w:val="22"/>
                <w:szCs w:val="22"/>
              </w:rPr>
              <w:t xml:space="preserve"> oraz kołpaka.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 / Nie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 –</w:t>
            </w:r>
            <w:r w:rsidR="00940BB1" w:rsidRPr="00173C4E">
              <w:rPr>
                <w:rFonts w:asciiTheme="majorHAnsi" w:hAnsiTheme="majorHAnsi"/>
                <w:sz w:val="22"/>
                <w:szCs w:val="22"/>
              </w:rPr>
              <w:t xml:space="preserve">1 </w:t>
            </w:r>
            <w:r w:rsidRPr="00173C4E">
              <w:rPr>
                <w:rFonts w:asciiTheme="majorHAnsi" w:hAnsiTheme="majorHAnsi"/>
                <w:sz w:val="22"/>
                <w:szCs w:val="22"/>
              </w:rPr>
              <w:t>pkt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53" w:rsidRPr="00173C4E" w:rsidRDefault="00AA5D53" w:rsidP="00AA5D5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5D5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D53" w:rsidRPr="00173C4E" w:rsidRDefault="00AA5D53" w:rsidP="00AA5D5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AA5D53" w:rsidRPr="00173C4E" w:rsidRDefault="00AA5D53" w:rsidP="00AA5D5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UPS wbudowany w wózek z monitorami, zabezpieczający dane obrazowe podczas zaniku zasilania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53" w:rsidRPr="00173C4E" w:rsidRDefault="00AA5D53" w:rsidP="00AA5D5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5D5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D53" w:rsidRPr="00173C4E" w:rsidRDefault="00AA5D53" w:rsidP="00AA5D5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AA5D53" w:rsidRPr="00173C4E" w:rsidRDefault="00AA5D53" w:rsidP="00AA5D5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Długość przewodu zasilania ≥ 7 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53" w:rsidRPr="00173C4E" w:rsidRDefault="00AA5D53" w:rsidP="00AA5D5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BE440D" w:rsidRPr="00173C4E" w:rsidTr="00234248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0D" w:rsidRPr="00BE440D" w:rsidRDefault="00BE440D" w:rsidP="00BE440D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/>
                <w:sz w:val="22"/>
                <w:szCs w:val="22"/>
              </w:rPr>
              <w:t>Pozostałe:</w:t>
            </w:r>
          </w:p>
        </w:tc>
      </w:tr>
      <w:tr w:rsidR="00AA5D53" w:rsidRPr="00173C4E" w:rsidTr="007B193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D53" w:rsidRPr="00173C4E" w:rsidRDefault="00AA5D53" w:rsidP="00AA5D5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AA5D53" w:rsidRPr="00173C4E" w:rsidRDefault="00AA5D53" w:rsidP="00AA5D5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Szkolenie personelu w zakresie obsługi w siedzibie Zamawiającego</w:t>
            </w:r>
          </w:p>
        </w:tc>
        <w:tc>
          <w:tcPr>
            <w:tcW w:w="2128" w:type="dxa"/>
            <w:vAlign w:val="center"/>
          </w:tcPr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53" w:rsidRPr="00173C4E" w:rsidRDefault="00AA5D53" w:rsidP="00AA5D5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5D53" w:rsidRPr="00173C4E" w:rsidTr="007B193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D53" w:rsidRPr="00173C4E" w:rsidRDefault="00AA5D53" w:rsidP="00AA5D5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AA5D53" w:rsidRPr="00173C4E" w:rsidRDefault="00AA5D53" w:rsidP="00AA5D5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Okres gwarancji na dostarczony sprzęt min. 24 miesiące</w:t>
            </w:r>
          </w:p>
        </w:tc>
        <w:tc>
          <w:tcPr>
            <w:tcW w:w="2128" w:type="dxa"/>
            <w:vAlign w:val="center"/>
          </w:tcPr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24 miesiące – 0 pkt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36 miesięcy – 10 pkt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48 miesięcy – 20 pkt 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53" w:rsidRPr="00173C4E" w:rsidRDefault="00AA5D53" w:rsidP="00AA5D5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5D53" w:rsidRPr="00173C4E" w:rsidTr="007B193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D53" w:rsidRPr="00173C4E" w:rsidRDefault="00AA5D53" w:rsidP="00AA5D5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AA5D53" w:rsidRPr="00173C4E" w:rsidRDefault="00AA5D53" w:rsidP="00AA5D5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Instrukcja obsługi w języku polskim </w:t>
            </w:r>
            <w:r w:rsidR="00940BB1" w:rsidRPr="00173C4E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173C4E">
              <w:rPr>
                <w:rFonts w:asciiTheme="majorHAnsi" w:hAnsiTheme="majorHAnsi"/>
                <w:sz w:val="22"/>
                <w:szCs w:val="22"/>
              </w:rPr>
              <w:t>(z dostawą)</w:t>
            </w:r>
          </w:p>
        </w:tc>
        <w:tc>
          <w:tcPr>
            <w:tcW w:w="2128" w:type="dxa"/>
            <w:vAlign w:val="center"/>
          </w:tcPr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53" w:rsidRPr="00173C4E" w:rsidRDefault="00AA5D53" w:rsidP="00AA5D5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5D53" w:rsidRPr="00173C4E" w:rsidTr="007B193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D53" w:rsidRPr="00173C4E" w:rsidRDefault="00AA5D53" w:rsidP="00AA5D5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AA5D53" w:rsidRPr="00173C4E" w:rsidRDefault="00AA5D53" w:rsidP="00AA5D5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Deklaracja zgodności CE na cały aparat</w:t>
            </w:r>
          </w:p>
        </w:tc>
        <w:tc>
          <w:tcPr>
            <w:tcW w:w="2128" w:type="dxa"/>
            <w:vAlign w:val="center"/>
          </w:tcPr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</w:t>
            </w:r>
            <w:r w:rsidR="002C7A9C" w:rsidRPr="00173C4E">
              <w:rPr>
                <w:rFonts w:asciiTheme="majorHAnsi" w:hAnsi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53" w:rsidRPr="00173C4E" w:rsidRDefault="00AA5D53" w:rsidP="00AA5D5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</w:tbl>
    <w:p w:rsidR="00925A70" w:rsidRPr="00173C4E" w:rsidRDefault="00925A70" w:rsidP="00925A70">
      <w:pPr>
        <w:suppressAutoHyphens/>
        <w:spacing w:after="120" w:line="480" w:lineRule="auto"/>
        <w:contextualSpacing/>
        <w:rPr>
          <w:rFonts w:asciiTheme="majorHAnsi" w:eastAsia="Calibri" w:hAnsiTheme="majorHAnsi" w:cs="Calibri"/>
          <w:b/>
          <w:sz w:val="22"/>
          <w:szCs w:val="22"/>
          <w:lang w:eastAsia="en-US"/>
        </w:rPr>
      </w:pPr>
    </w:p>
    <w:p w:rsidR="00940BB1" w:rsidRPr="00173C4E" w:rsidRDefault="00940BB1" w:rsidP="00925A70">
      <w:pPr>
        <w:suppressAutoHyphens/>
        <w:spacing w:after="120" w:line="480" w:lineRule="auto"/>
        <w:contextualSpacing/>
        <w:rPr>
          <w:rFonts w:asciiTheme="majorHAnsi" w:eastAsia="Calibri" w:hAnsiTheme="majorHAnsi" w:cs="Calibri"/>
          <w:b/>
          <w:sz w:val="22"/>
          <w:szCs w:val="22"/>
          <w:lang w:eastAsia="en-US"/>
        </w:rPr>
      </w:pPr>
    </w:p>
    <w:sectPr w:rsidR="00940BB1" w:rsidRPr="00173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624F" w:rsidRDefault="0084624F" w:rsidP="000D4E7D">
      <w:r>
        <w:separator/>
      </w:r>
    </w:p>
  </w:endnote>
  <w:endnote w:type="continuationSeparator" w:id="0">
    <w:p w:rsidR="0084624F" w:rsidRDefault="0084624F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624F" w:rsidRDefault="0084624F" w:rsidP="000D4E7D">
      <w:r>
        <w:separator/>
      </w:r>
    </w:p>
  </w:footnote>
  <w:footnote w:type="continuationSeparator" w:id="0">
    <w:p w:rsidR="0084624F" w:rsidRDefault="0084624F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D4E7D"/>
    <w:rsid w:val="0013102C"/>
    <w:rsid w:val="00173C4E"/>
    <w:rsid w:val="00182BA1"/>
    <w:rsid w:val="001C3EFE"/>
    <w:rsid w:val="002C7A9C"/>
    <w:rsid w:val="002D0F79"/>
    <w:rsid w:val="004369F3"/>
    <w:rsid w:val="00457688"/>
    <w:rsid w:val="004A6D97"/>
    <w:rsid w:val="00557D87"/>
    <w:rsid w:val="00637C20"/>
    <w:rsid w:val="007D77F2"/>
    <w:rsid w:val="00823C89"/>
    <w:rsid w:val="008455E7"/>
    <w:rsid w:val="0084624F"/>
    <w:rsid w:val="00925A70"/>
    <w:rsid w:val="00940BB1"/>
    <w:rsid w:val="0097746D"/>
    <w:rsid w:val="00AA5D53"/>
    <w:rsid w:val="00AB21B1"/>
    <w:rsid w:val="00B62D2D"/>
    <w:rsid w:val="00BE440D"/>
    <w:rsid w:val="00C21967"/>
    <w:rsid w:val="00C45B92"/>
    <w:rsid w:val="00C62B3D"/>
    <w:rsid w:val="00D129F8"/>
    <w:rsid w:val="00E145AA"/>
    <w:rsid w:val="00EE1528"/>
    <w:rsid w:val="00F06CEF"/>
    <w:rsid w:val="00F8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03B75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D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D8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1118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12</cp:revision>
  <cp:lastPrinted>2026-07-03T09:38:00Z</cp:lastPrinted>
  <dcterms:created xsi:type="dcterms:W3CDTF">2026-06-17T12:05:00Z</dcterms:created>
  <dcterms:modified xsi:type="dcterms:W3CDTF">2026-07-24T07:52:00Z</dcterms:modified>
</cp:coreProperties>
</file>