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A1C" w:rsidRPr="00135A1C" w:rsidRDefault="00135A1C" w:rsidP="00135A1C">
      <w:pPr>
        <w:spacing w:after="60" w:line="276" w:lineRule="auto"/>
        <w:jc w:val="right"/>
        <w:rPr>
          <w:rFonts w:eastAsia="Batang" w:cstheme="minorHAnsi"/>
          <w:b/>
          <w:bCs/>
          <w:lang w:eastAsia="pl-PL"/>
        </w:rPr>
      </w:pPr>
      <w:r w:rsidRPr="00135A1C">
        <w:rPr>
          <w:rFonts w:eastAsia="Batang" w:cstheme="minorHAnsi"/>
          <w:b/>
          <w:bCs/>
          <w:lang w:eastAsia="pl-PL"/>
        </w:rPr>
        <w:t xml:space="preserve">                                                                                                                           Załącznik nr 1</w:t>
      </w:r>
    </w:p>
    <w:p w:rsidR="00135A1C" w:rsidRPr="00135A1C" w:rsidRDefault="00135A1C" w:rsidP="00135A1C">
      <w:pPr>
        <w:spacing w:after="60" w:line="276" w:lineRule="auto"/>
        <w:ind w:firstLine="567"/>
        <w:jc w:val="both"/>
        <w:rPr>
          <w:rFonts w:eastAsia="Batang" w:cstheme="minorHAnsi"/>
          <w:b/>
          <w:bCs/>
          <w:lang w:eastAsia="pl-PL"/>
        </w:rPr>
      </w:pPr>
      <w:r w:rsidRPr="00135A1C">
        <w:rPr>
          <w:rFonts w:eastAsia="Batang" w:cstheme="minorHAnsi"/>
          <w:b/>
          <w:bCs/>
          <w:smallCaps/>
          <w:lang w:eastAsia="pl-PL"/>
        </w:rPr>
        <w:t>Wykonawca:</w:t>
      </w:r>
    </w:p>
    <w:p w:rsidR="00135A1C" w:rsidRDefault="00135A1C" w:rsidP="00135A1C">
      <w:pPr>
        <w:spacing w:after="60" w:line="276" w:lineRule="auto"/>
        <w:ind w:left="567"/>
        <w:rPr>
          <w:rFonts w:eastAsia="Batang" w:cstheme="minorHAnsi"/>
          <w:b/>
          <w:bCs/>
          <w:smallCaps/>
          <w:lang w:eastAsia="pl-PL"/>
        </w:rPr>
      </w:pPr>
      <w:r w:rsidRPr="00135A1C">
        <w:rPr>
          <w:rFonts w:eastAsia="Batang" w:cstheme="minorHAnsi"/>
          <w:b/>
          <w:bCs/>
          <w:smallCaps/>
          <w:lang w:eastAsia="pl-PL"/>
        </w:rPr>
        <w:t>…………………………………………</w:t>
      </w:r>
    </w:p>
    <w:p w:rsidR="00541008" w:rsidRPr="00135A1C" w:rsidRDefault="00541008" w:rsidP="00135A1C">
      <w:pPr>
        <w:spacing w:after="60" w:line="276" w:lineRule="auto"/>
        <w:ind w:left="567"/>
        <w:rPr>
          <w:rFonts w:eastAsia="Batang" w:cstheme="minorHAnsi"/>
          <w:b/>
          <w:bCs/>
          <w:smallCaps/>
          <w:lang w:eastAsia="pl-PL"/>
        </w:rPr>
      </w:pPr>
      <w:r>
        <w:rPr>
          <w:rFonts w:eastAsia="Batang" w:cstheme="minorHAnsi"/>
          <w:b/>
          <w:bCs/>
          <w:smallCaps/>
          <w:lang w:eastAsia="pl-PL"/>
        </w:rPr>
        <w:t>…………………………………………</w:t>
      </w:r>
    </w:p>
    <w:p w:rsidR="00541008" w:rsidRDefault="00135A1C" w:rsidP="00541008">
      <w:pPr>
        <w:spacing w:after="60" w:line="276" w:lineRule="auto"/>
        <w:ind w:left="567"/>
        <w:rPr>
          <w:rFonts w:eastAsia="Batang" w:cstheme="minorHAnsi"/>
          <w:b/>
          <w:bCs/>
          <w:i/>
          <w:smallCaps/>
          <w:lang w:eastAsia="pl-PL"/>
        </w:rPr>
      </w:pPr>
      <w:r w:rsidRPr="00135A1C">
        <w:rPr>
          <w:rFonts w:eastAsia="Batang" w:cstheme="minorHAnsi"/>
          <w:b/>
          <w:bCs/>
          <w:i/>
          <w:smallCaps/>
          <w:lang w:eastAsia="pl-PL"/>
        </w:rPr>
        <w:t>(pełna nazwa/firma, adres</w:t>
      </w:r>
      <w:r w:rsidR="00541008">
        <w:rPr>
          <w:rFonts w:eastAsia="Batang" w:cstheme="minorHAnsi"/>
          <w:b/>
          <w:bCs/>
          <w:i/>
          <w:smallCaps/>
          <w:lang w:eastAsia="pl-PL"/>
        </w:rPr>
        <w:t>),</w:t>
      </w:r>
    </w:p>
    <w:p w:rsidR="00135A1C" w:rsidRPr="00135A1C" w:rsidRDefault="00135A1C" w:rsidP="00541008">
      <w:pPr>
        <w:spacing w:after="60" w:line="276" w:lineRule="auto"/>
        <w:ind w:left="567"/>
        <w:rPr>
          <w:rFonts w:eastAsia="Batang" w:cstheme="minorHAnsi"/>
          <w:b/>
          <w:bCs/>
          <w:i/>
          <w:smallCaps/>
          <w:lang w:eastAsia="pl-PL"/>
        </w:rPr>
      </w:pPr>
      <w:r w:rsidRPr="00135A1C">
        <w:rPr>
          <w:rFonts w:eastAsia="Batang" w:cstheme="minorHAnsi"/>
          <w:b/>
          <w:bCs/>
          <w:i/>
          <w:smallCaps/>
          <w:lang w:eastAsia="pl-PL"/>
        </w:rPr>
        <w:t xml:space="preserve">w zależności od podmiotu: </w:t>
      </w:r>
    </w:p>
    <w:p w:rsidR="00135A1C" w:rsidRPr="00135A1C" w:rsidRDefault="00135A1C" w:rsidP="00135A1C">
      <w:pPr>
        <w:spacing w:after="60" w:line="276" w:lineRule="auto"/>
        <w:ind w:left="567"/>
        <w:rPr>
          <w:rFonts w:eastAsia="Batang" w:cstheme="minorHAnsi"/>
          <w:b/>
          <w:bCs/>
          <w:i/>
          <w:smallCaps/>
          <w:lang w:eastAsia="pl-PL"/>
        </w:rPr>
      </w:pPr>
      <w:r w:rsidRPr="00135A1C">
        <w:rPr>
          <w:rFonts w:eastAsia="Batang" w:cstheme="minorHAnsi"/>
          <w:b/>
          <w:bCs/>
          <w:i/>
          <w:smallCaps/>
          <w:lang w:eastAsia="pl-PL"/>
        </w:rPr>
        <w:t>NIP:…………………………………</w:t>
      </w:r>
    </w:p>
    <w:p w:rsidR="00135A1C" w:rsidRPr="00135A1C" w:rsidRDefault="00135A1C" w:rsidP="00135A1C">
      <w:pPr>
        <w:spacing w:after="60" w:line="276" w:lineRule="auto"/>
        <w:ind w:left="567"/>
        <w:rPr>
          <w:rFonts w:eastAsia="Batang" w:cstheme="minorHAnsi"/>
          <w:b/>
          <w:bCs/>
          <w:i/>
          <w:smallCaps/>
          <w:lang w:eastAsia="pl-PL"/>
        </w:rPr>
      </w:pPr>
      <w:r w:rsidRPr="00135A1C">
        <w:rPr>
          <w:rFonts w:eastAsia="Batang" w:cstheme="minorHAnsi"/>
          <w:b/>
          <w:bCs/>
          <w:i/>
          <w:smallCaps/>
          <w:lang w:eastAsia="pl-PL"/>
        </w:rPr>
        <w:t>KRS: ………………………………</w:t>
      </w:r>
    </w:p>
    <w:p w:rsidR="00135A1C" w:rsidRPr="00135A1C" w:rsidRDefault="00135A1C" w:rsidP="00135A1C">
      <w:pPr>
        <w:spacing w:after="60" w:line="276" w:lineRule="auto"/>
        <w:ind w:left="567"/>
        <w:jc w:val="center"/>
        <w:rPr>
          <w:rFonts w:eastAsia="Batang" w:cstheme="minorHAnsi"/>
          <w:b/>
          <w:bCs/>
          <w:smallCaps/>
          <w:u w:val="single"/>
          <w:lang w:eastAsia="pl-PL"/>
        </w:rPr>
      </w:pPr>
      <w:r w:rsidRPr="00135A1C">
        <w:rPr>
          <w:rFonts w:eastAsia="Batang" w:cstheme="minorHAnsi"/>
          <w:b/>
          <w:bCs/>
          <w:smallCaps/>
          <w:u w:val="single"/>
          <w:lang w:eastAsia="pl-PL"/>
        </w:rPr>
        <w:t xml:space="preserve">O F E R T A </w:t>
      </w:r>
    </w:p>
    <w:p w:rsidR="00135A1C" w:rsidRPr="00135A1C" w:rsidRDefault="00135A1C" w:rsidP="00135A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35A1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W odpowiedzi na ogłoszenie dotyczące udzielenia zamówienia na dostawa odczynników laboratoryjnych do sekwencjonowania NGS , przy użyciu aparatu </w:t>
      </w:r>
      <w:proofErr w:type="spellStart"/>
      <w:r w:rsidRPr="00135A1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Ilumina</w:t>
      </w:r>
      <w:proofErr w:type="spellEnd"/>
      <w:r w:rsidRPr="00135A1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dla Szpitala Specjalistycznego w Brzozowie Podkarpackiego Ośrodka Onkologicznego im. Ks. B. Markiewicza, znak sprawy S</w:t>
      </w:r>
      <w:r w:rsidR="0054100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z.</w:t>
      </w:r>
      <w:r w:rsidRPr="00135A1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S</w:t>
      </w:r>
      <w:r w:rsidR="0054100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.</w:t>
      </w:r>
      <w:r w:rsidRPr="00135A1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POO.SZP.3810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.49.</w:t>
      </w:r>
      <w:r w:rsidRPr="00135A1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202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6</w:t>
      </w:r>
      <w:r w:rsidRPr="00135A1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przedstawiamy następującą ofertę:</w:t>
      </w:r>
    </w:p>
    <w:tbl>
      <w:tblPr>
        <w:tblpPr w:leftFromText="141" w:rightFromText="141" w:vertAnchor="text" w:horzAnchor="margin" w:tblpXSpec="center" w:tblpY="439"/>
        <w:tblW w:w="158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275"/>
        <w:gridCol w:w="4111"/>
        <w:gridCol w:w="709"/>
        <w:gridCol w:w="850"/>
        <w:gridCol w:w="1276"/>
        <w:gridCol w:w="1418"/>
        <w:gridCol w:w="567"/>
        <w:gridCol w:w="1016"/>
        <w:gridCol w:w="1134"/>
        <w:gridCol w:w="3119"/>
      </w:tblGrid>
      <w:tr w:rsidR="00135A1C" w:rsidRPr="00135A1C" w:rsidTr="004466C5">
        <w:trPr>
          <w:trHeight w:val="93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j.m.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Ilość</w:t>
            </w:r>
          </w:p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pełnych opakowań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jedn. netto za </w:t>
            </w:r>
            <w:r w:rsidRPr="00135A1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jedn. brutto za opakowanie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Vat %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brutto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Typ (nazwa, numer katalogowy) /producent/ wielkość opakowania (uwaga jeśli zestaw składa się z kilku elementów oddzielnie katalogowanych należy podać wszystkie numery katalogowe wraz z cenami poszczególnych elementów wchodzących w skład całego zestawu) podać wszystkie produkty mieszczące się w ofercie</w:t>
            </w:r>
          </w:p>
        </w:tc>
      </w:tr>
      <w:tr w:rsidR="00135A1C" w:rsidRPr="00135A1C" w:rsidTr="004466C5">
        <w:trPr>
          <w:trHeight w:val="80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Kartridż kompatybilny z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sekwenatorem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NextSeq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550 (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Kit do sekwencjonowania nowej generacji zawierający reagenty gotowe do użycia. Kompletny zestaw odczynników pozwalający na tworzenie klastrów oraz sekwencjonowanie podczas co najmniej 300 cykli i zapewniający uzyskanie do 130 M odczytów w trybie sparowanych końców. Zestaw ma zapewnić pozyskanie do 39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Gb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danych podczas jednego cyklu pracy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sekwenatora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79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Kartridż kompatybilny z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sekwenatorem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NextSeq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550 (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Kit do sekwencjonowania nowej generacji zawierający reagenty gotowe do użycia. Kompletny zestaw odczynników pozwalający na tworzenie klastrów oraz sekwencjonowanie podczas co najmniej 300 cykli i zapewniający uzyskanie do 400 milionów odczytów w trybie sparowanych końców. Zestaw ma zapewnić pozyskanie do 120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Gb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danych podczas jednego cyklu pracy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sekwenatora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91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Kontrolny zestaw DNA stanowiący wzorcową bibliotekę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NGS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Gotowa do użycia biblioteka pochodząca z genu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PhiX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(biblioteka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zligowana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z adapterem) stanowiąca kontrolę jakości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sekwencjionowania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, w różnych aplikacjach. Kontrola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kompatibilna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z reagentami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NextSeq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Reagents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Kit, stosowanych w systemie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NextSeq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90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Celowany panel genowy do diagnostyki hematologicznej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Panel genowy w technologii sekwencjonowania następnej generacji przeznaczony do jednoczesnego wykrywania wariantów pojedynczych nukleotydów (SNV), zmian typu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indel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CNVs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ITDs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w obrębie 92 genów związanych z rozwojem (AML, MPN, MDS): ABL1, ANKRD26, ASXL1, ATRX, BCOR, BCORL1, BRAF, BRCC3, BTK, CALR, CBL, CBLB, CBLC, CCND2</w:t>
            </w:r>
            <w:r w:rsidRPr="00637E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, CDC25C</w:t>
            </w: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, CDKN2A, CEBPA, CREBBP, CTCF, CSF3R, CUX1, CXCR4, DCK, DDX41, DHX15, DNMT3A, EED, ETNK1, ETV6, EZH2, FBXW7,FLT3,GATA1, GATA2, GNAS, GNB1, HRAS, IDH1, IDH2, IKZF1, IL7R, JAK1,  JAK2, JAK3, KDM6A, KIT, KMT2A, KMT2D,  KRAS, LUC7L2, MAP2K1, MPL, MYC, MYD88, NF1, NOTCH1, NPM1, NRAS, NUDT15, PAX5, PDGFRA, PHF6, PPM1D, PRPF8, PTEN, PTPN11, RAD21, RBBP6, </w:t>
            </w:r>
            <w:r w:rsidRPr="00637E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RPS14, R</w:t>
            </w: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UNX1, SAMD9, SAMD9L, SETBP1, SF3B1, SH2B3, SLC29A1, SMC1A, SMC3, SRSF2, STAG2, STAT3, STAT5B, TET2, TPMT, TP53, UBA1, UBTF, U2AF1, U2AF2, WT1, XPO1, ZRSR2. Biblioteka kompatybilna z platformą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Nextseq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500/550 (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). Minimalna ilość materiału genetycznego wymagana do zbadania 1 próby jest równa lub większa niż 10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ng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DNA. Opakowanie na 8 oznaczeń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67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:rsidR="00135A1C" w:rsidRPr="00135A1C" w:rsidRDefault="00135A1C" w:rsidP="00135A1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Celowany panel genowy do diagnostyki raka płuca</w:t>
            </w:r>
          </w:p>
          <w:p w:rsidR="00135A1C" w:rsidRPr="00135A1C" w:rsidRDefault="00135A1C" w:rsidP="00135A1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Panel genowy w technologii sekwencjonowania następnej generacji przeznaczony do jednoczesnego wykrywania: pojedynczych nukleotydów (SNV) zmian typu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indel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fuzji,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splicing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pomijania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eksonów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ocenę ekspresji w genach: ALK, BRAF, EGFR, ERBB2, FGFR1, FGFR2, FGFR3, KRAS, MET, NRG1, NTRK1, NTRK2, NTRK3, NUTM1, PIK3CA, RET, ROS1. Biblioteka kompatybilna z platformą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Nextseq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500/550 (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). Minimalna ilość materiału genetycznego wymagana do zbadania 1 próby jest równa lub większa niż 10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ng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DNA. Opakowanie na 8 oznaczeń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638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:rsidR="00135A1C" w:rsidRPr="00135A1C" w:rsidRDefault="00135A1C" w:rsidP="00135A1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Celowany panel genowy do diagnostyki </w:t>
            </w:r>
            <w:r w:rsidR="00C61F8A">
              <w:rPr>
                <w:rFonts w:eastAsia="Times New Roman" w:cstheme="minorHAnsi"/>
                <w:sz w:val="18"/>
                <w:szCs w:val="18"/>
                <w:lang w:eastAsia="pl-PL"/>
              </w:rPr>
              <w:t>guzów litych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D21875" w:rsidRDefault="00D21875" w:rsidP="00D2187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Panel genowy w technologii sekwencjonowania następnej generacji przeznaczony do jednoczesnego wykrywania wariantów pojedynczych nukleotydów (SNV), wariantów liczby kopii, insercji, delecji oraz oceny statusu niestabilności </w:t>
            </w:r>
            <w:proofErr w:type="spellStart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mikrosatelitarnej</w:t>
            </w:r>
            <w:proofErr w:type="spellEnd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 obrębie 37 genów związanych z guzami litymi:  AKT1, APC, ARID1A, BRAF, BRCA1, BRCA2, CDH1, CDKN2A, </w:t>
            </w:r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CHEK2, CTNNB1, EGFR, ERBB2, FGFR2, FOXL2, GNA11, GNAQ, GNAS, HRAS, IDH1, IDH2, KIT, KRAS, MET, MLH1, MSH2, MSH6, NRAS, PALB2, PDGFRA, PIK3CA, PMS2, POLD1, POLE, PTEN, RET, TERT, TP53. Biblioteka kompatybilna z platformą </w:t>
            </w:r>
            <w:proofErr w:type="spellStart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Nextseq</w:t>
            </w:r>
            <w:proofErr w:type="spellEnd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500/550 (</w:t>
            </w:r>
            <w:proofErr w:type="spellStart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Illumina</w:t>
            </w:r>
            <w:proofErr w:type="spellEnd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). Minimalna ilość materiału genetycznego wymagana do zbadania 1 próby jest równa lub większa niż 10 </w:t>
            </w:r>
            <w:proofErr w:type="spellStart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ng</w:t>
            </w:r>
            <w:proofErr w:type="spellEnd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DNA. Opakowanie na 24 oznaczenia.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lastRenderedPageBreak/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6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Celowany panel genowy do diagnostyki hematologicznej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Panel genowy w technologii sekwencjonowania następnej generacji przeznaczony do jednoczesnego wykrywania wariantów pojedynczych nukleotydów (SNV), zmian typu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indel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CNVs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ITDs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w obrębie 65 genów związanych z rozwojem (AML, MPN, MDS): ABL1, ANKRD26, ASXL1, ATM,  ATRX, BCL2, BCOR, BCORL1, BRAF, CALR, CBL, CBLB, CBLC, CDKN2A, CEBPA, CSF3R, CUX1, CXCR4, DDX41, DNMT3A, EGFR, ETNK1, ETV6, EZH2, FLT3,GATA1, GATA2, GNAS, HRAS, IDH1, IDH2, IKZF1, JAK2, JAK3, KDM6A, KIT, KMT2A, KRAS, MPL, MYD88, NF1, NOTCH1, NPM1, NRAS, PDGFRA, PHF6, PIGA, PIK3CA, PPM1D, PTEN, PTPN11, RAD21, RUNX1, SETBP1, SF3B1, SH2B3, SMC1A, SMC3, SRSF2, STAG2, TET2, TP53, U2AF1, WT1, ZRSR2. Biblioteka kompatybilna z platformą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Nextseq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500/550 (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). Minimalna ilość materiału genetycznego wymagana do zbadania 1 próby jest równa lub większa niż 10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ng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DNA. Opakowanie na 24 oznaczeń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6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Celowany rozszerzony panel genowy do diagnostyki raka płuca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Panel genowy w technologii sekwencjonowania następnej generacji przeznaczony do jednoczesnego wykrywania: pojedynczych nukleotydów (SNV) zmian typu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indel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, fuzji,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splicing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, pomijania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eksonów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, ocenę ekspresji w genach: ALK, BRAF, EGFR, ERBB2, FGFR1, FGFR2, FGFR3, KEAP1, KRAS, MAP2K1, MDM2, MET, NRG1, NTRK1, NTRK2, NTRK3, NUTM1, PIK3CA, RET, ROS1, STK11, TP53. Biblioteka kompatybilna z platformą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Nextseq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500/550 (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). Minimalna ilość materiału genetycznego wymagana do zbadania 1 próby jest równa lub większa niż 10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ng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DNA. Opakowanie na 24 oznaczeń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przeznaczone do dwustronnego wyznakowania materiału genetycznego w każdej z prób typu MBC Pula kombinacji znaczników od A1 do A8. Zestawy adapterów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kompatibilne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z panelami genowymi Archer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™. Opakowanie 8 sztuk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przeznaczone do dwustronnego wyznakowania materiału genetycznego w każdej z prób typu MBC Pula kombinacji znaczników od A 9 do A 16. Zestawy adapterów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kompatibilne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z panelami genowymi Archer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™. Opakowanie 8 sztuk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  <w:p w:rsidR="00135A1C" w:rsidRPr="00135A1C" w:rsidRDefault="00135A1C" w:rsidP="00135A1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przeznaczone do dwustronnego wyznakowania materiału genetycznego w każdej z prób typu MBC Pula kombinacji znaczników od A17 do A 24. Zestawy adapterów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kompatibilne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z panelami genowymi Archer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™. Opakowanie 8 sztuk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  <w:p w:rsidR="00135A1C" w:rsidRPr="00135A1C" w:rsidRDefault="00135A1C" w:rsidP="00135A1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przeznaczone do dwustronnego wyznakowania materiału genetycznego w każdej z prób typu MBC Pula kombinacji znaczników od A25 do A32. Zestawy adapterów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kompatibilne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z panelami genowymi Archer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™. Opakowanie 8 sztuk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tabs>
                <w:tab w:val="left" w:pos="1014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przeznaczone do dwustronnego wyznakowania materiału genetycznego w każdej z prób typu MBC Pula kombinacji znaczników od A33 do A40. Zestawy adapterów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kompatibilne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panelami genowymi Archer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™. Opakowanie 8 sztuk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tabs>
                <w:tab w:val="left" w:pos="1014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przeznaczone do dwustronnego wyznakowania materiału genetycznego w każdej z prób typu MBC Pula kombinacji znaczników od A41 do A48. Zestawy adapterów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kompatibilne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panelami genowymi Archer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™. Opakowanie 8 sztuk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tabs>
                <w:tab w:val="left" w:pos="1014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przeznaczone do dwustronnego wyznakowania materiału genetycznego w każdej z prób typu MBC Pula kombinacji znaczników od A01 do A48. Zestawy adapterów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kompatibilne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panelami genowymi Archer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™.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D21875">
        <w:trPr>
          <w:trHeight w:val="26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tabs>
                <w:tab w:val="left" w:pos="1014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Illumina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przeznaczone do dwustronnego wyznakowania materiału genetycznego w każdej z prób typu MBC Pula kombinacji znaczników od B01 do B48. Zestawy </w:t>
            </w:r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adapterów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kompatibilne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panelami genowymi Archer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sz w:val="18"/>
                <w:szCs w:val="18"/>
                <w:lang w:eastAsia="pl-PL"/>
              </w:rPr>
              <w:t>™.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lastRenderedPageBreak/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sekwenatorów</w:t>
            </w:r>
            <w:proofErr w:type="spellEnd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Illumina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D72372" w:rsidRDefault="00135A1C" w:rsidP="00135A1C">
            <w:pPr>
              <w:tabs>
                <w:tab w:val="left" w:pos="1014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Sekwencje znacznikowe i adaptorowe dla </w:t>
            </w:r>
            <w:proofErr w:type="spellStart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sekwenatorów</w:t>
            </w:r>
            <w:proofErr w:type="spellEnd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Illumina</w:t>
            </w:r>
            <w:proofErr w:type="spellEnd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przeznaczone do dwustronnego wyznakowania materiału genetycznego w każdej z prób typu MBC</w:t>
            </w:r>
            <w:r w:rsidR="00D21875"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Pula kombinacji znaczników od C01 do C</w:t>
            </w:r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48. Zestawy adapterów </w:t>
            </w:r>
            <w:proofErr w:type="spellStart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kompatibilne</w:t>
            </w:r>
            <w:proofErr w:type="spellEnd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panelami genowymi Archer </w:t>
            </w:r>
            <w:proofErr w:type="spellStart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FusionPlex</w:t>
            </w:r>
            <w:proofErr w:type="spellEnd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VariantPlex</w:t>
            </w:r>
            <w:proofErr w:type="spellEnd"/>
            <w:r w:rsidRPr="00D72372">
              <w:rPr>
                <w:rFonts w:eastAsia="Times New Roman" w:cstheme="minorHAnsi"/>
                <w:sz w:val="18"/>
                <w:szCs w:val="18"/>
                <w:lang w:eastAsia="pl-PL"/>
              </w:rPr>
              <w:t>™.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Kulki magnetyczne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Kulki magnetyczne, pozwalające na selekcję fragmentów oraz oczyszczanie reakcji enzymatycznych na poszczególnych etapach przygotowywania bibliotek Archer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™ . Objętość 5 ml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Kulki magnetyczne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Kulki magnetyczne, pozwalające na selekcję fragmentów oraz oczyszczanie reakcji enzymatycznych na poszczególnych etapach przygotowywania bibliotek Archer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FusionPlex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™, </w:t>
            </w:r>
            <w:proofErr w:type="spellStart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VariantPlex</w:t>
            </w:r>
            <w:proofErr w:type="spellEnd"/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™. Objętość 75ml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opakowanie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8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Przeprowadzenie analiz w oprogramowaniu chmurowym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35A1C" w:rsidRPr="00135A1C" w:rsidTr="004466C5">
        <w:trPr>
          <w:trHeight w:val="328"/>
        </w:trPr>
        <w:tc>
          <w:tcPr>
            <w:tcW w:w="169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5A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35A1C" w:rsidRPr="00135A1C" w:rsidRDefault="00135A1C" w:rsidP="00135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35A1C" w:rsidRPr="00135A1C" w:rsidRDefault="00135A1C" w:rsidP="00135A1C">
      <w:pPr>
        <w:spacing w:after="60" w:line="276" w:lineRule="auto"/>
        <w:jc w:val="both"/>
        <w:rPr>
          <w:rFonts w:ascii="Cambria" w:eastAsia="Batang" w:hAnsi="Cambria" w:cs="Arial"/>
          <w:b/>
          <w:bCs/>
          <w:sz w:val="20"/>
          <w:szCs w:val="20"/>
          <w:lang w:eastAsia="pl-PL"/>
        </w:rPr>
      </w:pPr>
    </w:p>
    <w:tbl>
      <w:tblPr>
        <w:tblW w:w="27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9"/>
        <w:gridCol w:w="960"/>
        <w:gridCol w:w="1340"/>
        <w:gridCol w:w="2040"/>
        <w:gridCol w:w="2120"/>
        <w:gridCol w:w="960"/>
        <w:gridCol w:w="2500"/>
        <w:gridCol w:w="5360"/>
      </w:tblGrid>
      <w:tr w:rsidR="00135A1C" w:rsidRPr="00D72372" w:rsidTr="00D72372">
        <w:trPr>
          <w:trHeight w:val="465"/>
        </w:trPr>
        <w:tc>
          <w:tcPr>
            <w:tcW w:w="1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1C" w:rsidRPr="00D72372" w:rsidRDefault="00135A1C" w:rsidP="00D72372">
            <w:pPr>
              <w:spacing w:after="60" w:line="276" w:lineRule="auto"/>
              <w:jc w:val="both"/>
              <w:rPr>
                <w:rFonts w:eastAsia="Batang" w:cstheme="minorHAnsi"/>
                <w:b/>
                <w:bCs/>
                <w:color w:val="000000" w:themeColor="text1"/>
                <w:lang w:eastAsia="pl-PL"/>
              </w:rPr>
            </w:pPr>
            <w:r w:rsidRPr="00D72372">
              <w:rPr>
                <w:rFonts w:eastAsia="Batang" w:cstheme="minorHAnsi"/>
                <w:b/>
                <w:bCs/>
                <w:color w:val="000000" w:themeColor="text1"/>
                <w:lang w:eastAsia="pl-PL"/>
              </w:rPr>
              <w:t>Termin</w:t>
            </w:r>
            <w:r w:rsidRPr="00D72372">
              <w:rPr>
                <w:rFonts w:eastAsia="Batang" w:cstheme="minorHAnsi"/>
                <w:b/>
                <w:bCs/>
                <w:color w:val="FF0000"/>
                <w:lang w:eastAsia="pl-PL"/>
              </w:rPr>
              <w:t xml:space="preserve"> </w:t>
            </w:r>
            <w:r w:rsidRPr="00D72372">
              <w:rPr>
                <w:rFonts w:eastAsia="Batang" w:cstheme="minorHAnsi"/>
                <w:b/>
                <w:bCs/>
                <w:color w:val="000000" w:themeColor="text1"/>
                <w:lang w:eastAsia="pl-PL"/>
              </w:rPr>
              <w:t xml:space="preserve">dostawy: ………………….. tygodni (max </w:t>
            </w:r>
            <w:r w:rsidR="00CC7E45" w:rsidRPr="00D72372">
              <w:rPr>
                <w:rFonts w:eastAsia="Batang" w:cstheme="minorHAnsi"/>
                <w:b/>
                <w:bCs/>
                <w:color w:val="000000" w:themeColor="text1"/>
                <w:lang w:eastAsia="pl-PL"/>
              </w:rPr>
              <w:t>6</w:t>
            </w:r>
            <w:r w:rsidRPr="00D72372">
              <w:rPr>
                <w:rFonts w:eastAsia="Batang" w:cstheme="minorHAnsi"/>
                <w:b/>
                <w:bCs/>
                <w:color w:val="000000" w:themeColor="text1"/>
                <w:lang w:eastAsia="pl-PL"/>
              </w:rPr>
              <w:t xml:space="preserve"> tygodni).</w:t>
            </w:r>
          </w:p>
          <w:p w:rsidR="00135A1C" w:rsidRPr="00D72372" w:rsidRDefault="00135A1C" w:rsidP="00D72372">
            <w:pPr>
              <w:spacing w:after="60" w:line="276" w:lineRule="auto"/>
              <w:jc w:val="both"/>
              <w:rPr>
                <w:rFonts w:eastAsia="Batang" w:cstheme="minorHAnsi"/>
                <w:bCs/>
                <w:color w:val="000000" w:themeColor="text1"/>
                <w:lang w:eastAsia="pl-PL"/>
              </w:rPr>
            </w:pPr>
            <w:r w:rsidRPr="00D72372">
              <w:rPr>
                <w:rFonts w:eastAsia="Batang" w:cstheme="minorHAnsi"/>
                <w:bCs/>
                <w:color w:val="000000" w:themeColor="text1"/>
                <w:lang w:eastAsia="pl-PL"/>
              </w:rPr>
              <w:t>Wielkość przedsiębiorstwa……………………………………………</w:t>
            </w:r>
          </w:p>
          <w:p w:rsidR="00135A1C" w:rsidRPr="00D72372" w:rsidRDefault="00135A1C" w:rsidP="00135A1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</w:p>
          <w:p w:rsidR="00135A1C" w:rsidRPr="00D72372" w:rsidRDefault="00135A1C" w:rsidP="00D7237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7237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DODATKOWE WYMAGANIA:</w:t>
            </w:r>
          </w:p>
          <w:p w:rsidR="00135A1C" w:rsidRPr="00D72372" w:rsidRDefault="00135A1C" w:rsidP="00135A1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1C" w:rsidRPr="00D72372" w:rsidRDefault="00135A1C" w:rsidP="00135A1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1C" w:rsidRPr="00D72372" w:rsidRDefault="00135A1C" w:rsidP="00135A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1C" w:rsidRPr="00D72372" w:rsidRDefault="00135A1C" w:rsidP="00135A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1C" w:rsidRPr="00D72372" w:rsidRDefault="00135A1C" w:rsidP="00135A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1C" w:rsidRPr="00D72372" w:rsidRDefault="00135A1C" w:rsidP="00135A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1C" w:rsidRPr="00D72372" w:rsidRDefault="00135A1C" w:rsidP="00135A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A1C" w:rsidRPr="00D72372" w:rsidRDefault="00135A1C" w:rsidP="00135A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135A1C" w:rsidRPr="00D72372" w:rsidRDefault="00CC7E45" w:rsidP="00135A1C">
      <w:pPr>
        <w:spacing w:after="60" w:line="240" w:lineRule="auto"/>
        <w:jc w:val="both"/>
        <w:rPr>
          <w:b/>
        </w:rPr>
      </w:pPr>
      <w:r w:rsidRPr="00D72372">
        <w:rPr>
          <w:b/>
        </w:rPr>
        <w:t xml:space="preserve"> Termin ważności odczynników wynosi przynajmniej 6 miesięcy w momencie dostarczenia lub mniej niż 6 miesięcy jeśli laboratorium zaakceptuje odczynnik.</w:t>
      </w:r>
    </w:p>
    <w:p w:rsidR="00241763" w:rsidRDefault="00D72372" w:rsidP="00D7237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 </w:t>
      </w:r>
    </w:p>
    <w:p w:rsidR="00135A1C" w:rsidRPr="00135A1C" w:rsidRDefault="00D72372" w:rsidP="00D72372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 </w:t>
      </w:r>
      <w:r w:rsidR="00135A1C" w:rsidRPr="00135A1C">
        <w:rPr>
          <w:rFonts w:eastAsia="Times New Roman" w:cstheme="minorHAnsi"/>
          <w:b/>
          <w:bCs/>
          <w:sz w:val="20"/>
          <w:szCs w:val="20"/>
          <w:lang w:eastAsia="ar-SA"/>
        </w:rPr>
        <w:t>Dane wykonawcy:</w:t>
      </w:r>
      <w:r w:rsidR="00241763">
        <w:rPr>
          <w:rFonts w:eastAsia="Times New Roman" w:cstheme="minorHAnsi"/>
          <w:b/>
          <w:bCs/>
          <w:sz w:val="20"/>
          <w:szCs w:val="20"/>
          <w:lang w:eastAsia="ar-SA"/>
        </w:rPr>
        <w:t>……………………………………..</w:t>
      </w:r>
    </w:p>
    <w:p w:rsidR="00135A1C" w:rsidRPr="00135A1C" w:rsidRDefault="00135A1C" w:rsidP="00D72372">
      <w:pPr>
        <w:suppressAutoHyphens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de-DE" w:eastAsia="ar-SA"/>
        </w:rPr>
      </w:pPr>
      <w:proofErr w:type="spellStart"/>
      <w:r>
        <w:rPr>
          <w:rFonts w:eastAsia="Times New Roman" w:cstheme="minorHAnsi"/>
          <w:bCs/>
          <w:sz w:val="20"/>
          <w:szCs w:val="20"/>
          <w:lang w:val="de-DE" w:eastAsia="ar-SA"/>
        </w:rPr>
        <w:t>Osoba</w:t>
      </w:r>
      <w:proofErr w:type="spellEnd"/>
      <w:r>
        <w:rPr>
          <w:rFonts w:eastAsia="Times New Roman" w:cstheme="minorHAnsi"/>
          <w:bCs/>
          <w:sz w:val="20"/>
          <w:szCs w:val="20"/>
          <w:lang w:val="de-DE" w:eastAsia="ar-SA"/>
        </w:rPr>
        <w:t xml:space="preserve"> do </w:t>
      </w:r>
      <w:proofErr w:type="spellStart"/>
      <w:r>
        <w:rPr>
          <w:rFonts w:eastAsia="Times New Roman" w:cstheme="minorHAnsi"/>
          <w:bCs/>
          <w:sz w:val="20"/>
          <w:szCs w:val="20"/>
          <w:lang w:val="de-DE" w:eastAsia="ar-SA"/>
        </w:rPr>
        <w:t>kontaktu</w:t>
      </w:r>
      <w:proofErr w:type="spellEnd"/>
      <w:r w:rsidRPr="00135A1C">
        <w:rPr>
          <w:rFonts w:eastAsia="Times New Roman" w:cstheme="minorHAnsi"/>
          <w:bCs/>
          <w:sz w:val="20"/>
          <w:szCs w:val="20"/>
          <w:lang w:val="de-DE" w:eastAsia="ar-SA"/>
        </w:rPr>
        <w:t>: ……………………………………..</w:t>
      </w:r>
    </w:p>
    <w:p w:rsidR="00135A1C" w:rsidRPr="00135A1C" w:rsidRDefault="00D72372" w:rsidP="00D72372">
      <w:pPr>
        <w:suppressAutoHyphens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de-DE" w:eastAsia="ar-SA"/>
        </w:rPr>
      </w:pPr>
      <w:r>
        <w:rPr>
          <w:rFonts w:eastAsia="Times New Roman" w:cstheme="minorHAnsi"/>
          <w:bCs/>
          <w:sz w:val="20"/>
          <w:szCs w:val="20"/>
          <w:lang w:val="de-DE" w:eastAsia="ar-SA"/>
        </w:rPr>
        <w:t xml:space="preserve"> </w:t>
      </w:r>
      <w:r w:rsidR="00135A1C" w:rsidRPr="00135A1C">
        <w:rPr>
          <w:rFonts w:eastAsia="Times New Roman" w:cstheme="minorHAnsi"/>
          <w:bCs/>
          <w:sz w:val="20"/>
          <w:szCs w:val="20"/>
          <w:lang w:val="de-DE" w:eastAsia="ar-SA"/>
        </w:rPr>
        <w:t>Tel.:  ……………………………………….</w:t>
      </w:r>
      <w:bookmarkStart w:id="0" w:name="_GoBack"/>
      <w:bookmarkEnd w:id="0"/>
    </w:p>
    <w:p w:rsidR="00135A1C" w:rsidRPr="00135A1C" w:rsidRDefault="00D72372" w:rsidP="00D72372">
      <w:pPr>
        <w:suppressAutoHyphens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de-DE" w:eastAsia="ar-SA"/>
        </w:rPr>
      </w:pPr>
      <w:r>
        <w:rPr>
          <w:rFonts w:eastAsia="Times New Roman" w:cstheme="minorHAnsi"/>
          <w:bCs/>
          <w:sz w:val="20"/>
          <w:szCs w:val="20"/>
          <w:lang w:val="de-DE" w:eastAsia="ar-SA"/>
        </w:rPr>
        <w:t xml:space="preserve"> </w:t>
      </w:r>
      <w:proofErr w:type="spellStart"/>
      <w:r w:rsidR="00135A1C" w:rsidRPr="00135A1C">
        <w:rPr>
          <w:rFonts w:eastAsia="Times New Roman" w:cstheme="minorHAnsi"/>
          <w:bCs/>
          <w:sz w:val="20"/>
          <w:szCs w:val="20"/>
          <w:lang w:val="de-DE" w:eastAsia="ar-SA"/>
        </w:rPr>
        <w:t>E-mail</w:t>
      </w:r>
      <w:proofErr w:type="spellEnd"/>
      <w:r w:rsidR="00135A1C" w:rsidRPr="00135A1C">
        <w:rPr>
          <w:rFonts w:eastAsia="Times New Roman" w:cstheme="minorHAnsi"/>
          <w:bCs/>
          <w:sz w:val="20"/>
          <w:szCs w:val="20"/>
          <w:lang w:val="de-DE" w:eastAsia="ar-SA"/>
        </w:rPr>
        <w:t>: …………………………………….</w:t>
      </w:r>
    </w:p>
    <w:p w:rsidR="00135A1C" w:rsidRPr="00135A1C" w:rsidRDefault="00135A1C" w:rsidP="00135A1C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p w:rsidR="00D72372" w:rsidRPr="00135A1C" w:rsidRDefault="00D72372" w:rsidP="00135A1C">
      <w:pPr>
        <w:spacing w:after="60" w:line="276" w:lineRule="auto"/>
        <w:ind w:firstLine="284"/>
        <w:jc w:val="both"/>
        <w:rPr>
          <w:rFonts w:eastAsia="Batang" w:cstheme="minorHAnsi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1" w:tblpY="103"/>
        <w:tblW w:w="2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0"/>
      </w:tblGrid>
      <w:tr w:rsidR="00135A1C" w:rsidRPr="00135A1C" w:rsidTr="004466C5">
        <w:trPr>
          <w:trHeight w:val="465"/>
        </w:trPr>
        <w:tc>
          <w:tcPr>
            <w:tcW w:w="26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A1C" w:rsidRPr="00D72372" w:rsidRDefault="00135A1C" w:rsidP="00135A1C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237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 potrzeby postępowania o udzielenie zamówienia publicznego oświadczam, że wypełniłem obowiązki informacyjne przewidziane w art. 13 lub art. 14 rozporządzenia Parlamentu Europejskiego i Rady (UE)</w:t>
            </w:r>
          </w:p>
          <w:p w:rsidR="00135A1C" w:rsidRPr="00D72372" w:rsidRDefault="00135A1C" w:rsidP="00135A1C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237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2016/679 z dnia 27 kwietnia 2016 r. w sprawie ochrony osób fizycznych w związku z przetwarzaniem danych osobowych  i w sprawie swobodnego przepływu takich danych oraz uchylenia dyrektywy 95/46/WE</w:t>
            </w:r>
          </w:p>
          <w:p w:rsidR="00135A1C" w:rsidRPr="00D72372" w:rsidRDefault="00135A1C" w:rsidP="00135A1C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7237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(ogólne rozporządzenie o ochronie danych) (Dz. Urz. UE L 119 z 04.05.2016, str. 1), dalej RODO, wobec osób fizycznych, od których dane osobowe bezpośrednio lub pośrednio pozyskałem w celu ubiegania</w:t>
            </w:r>
          </w:p>
          <w:p w:rsidR="00135A1C" w:rsidRPr="00135A1C" w:rsidRDefault="00135A1C" w:rsidP="00135A1C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7237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się o udzielenie zamówienia publicznego w niniejszym postępowaniu (wykonawca wykreśla powyższe oświadczenie w przypadku gdy go nie dotyczy.</w:t>
            </w:r>
          </w:p>
        </w:tc>
      </w:tr>
      <w:tr w:rsidR="00135A1C" w:rsidRPr="00135A1C" w:rsidTr="004466C5">
        <w:trPr>
          <w:trHeight w:val="458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A1C" w:rsidRPr="00135A1C" w:rsidRDefault="00135A1C" w:rsidP="00135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eastAsia="pl-PL"/>
              </w:rPr>
            </w:pPr>
          </w:p>
        </w:tc>
      </w:tr>
      <w:tr w:rsidR="00135A1C" w:rsidRPr="00135A1C" w:rsidTr="004466C5">
        <w:trPr>
          <w:trHeight w:val="458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A1C" w:rsidRPr="00135A1C" w:rsidRDefault="00135A1C" w:rsidP="00135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eastAsia="pl-PL"/>
              </w:rPr>
            </w:pPr>
          </w:p>
        </w:tc>
      </w:tr>
      <w:tr w:rsidR="00135A1C" w:rsidRPr="00135A1C" w:rsidTr="004466C5">
        <w:trPr>
          <w:trHeight w:val="458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A1C" w:rsidRPr="00135A1C" w:rsidRDefault="00135A1C" w:rsidP="00135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eastAsia="pl-PL"/>
              </w:rPr>
            </w:pPr>
          </w:p>
        </w:tc>
      </w:tr>
      <w:tr w:rsidR="00135A1C" w:rsidRPr="00135A1C" w:rsidTr="004466C5">
        <w:trPr>
          <w:trHeight w:val="458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A1C" w:rsidRPr="00135A1C" w:rsidRDefault="00135A1C" w:rsidP="00135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eastAsia="pl-PL"/>
              </w:rPr>
            </w:pPr>
          </w:p>
        </w:tc>
      </w:tr>
      <w:tr w:rsidR="00135A1C" w:rsidRPr="00135A1C" w:rsidTr="004466C5">
        <w:trPr>
          <w:trHeight w:val="458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A1C" w:rsidRPr="00135A1C" w:rsidRDefault="00135A1C" w:rsidP="00135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eastAsia="pl-PL"/>
              </w:rPr>
            </w:pPr>
          </w:p>
        </w:tc>
      </w:tr>
      <w:tr w:rsidR="00135A1C" w:rsidRPr="00135A1C" w:rsidTr="004466C5">
        <w:trPr>
          <w:trHeight w:val="555"/>
        </w:trPr>
        <w:tc>
          <w:tcPr>
            <w:tcW w:w="26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A1C" w:rsidRPr="00135A1C" w:rsidRDefault="00135A1C" w:rsidP="00135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eastAsia="pl-PL"/>
              </w:rPr>
            </w:pPr>
          </w:p>
        </w:tc>
      </w:tr>
    </w:tbl>
    <w:p w:rsidR="00135A1C" w:rsidRPr="00135A1C" w:rsidRDefault="00135A1C" w:rsidP="00135A1C">
      <w:pPr>
        <w:spacing w:after="60" w:line="276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pl-PL"/>
        </w:rPr>
      </w:pPr>
    </w:p>
    <w:p w:rsidR="00135A1C" w:rsidRPr="00135A1C" w:rsidRDefault="00135A1C" w:rsidP="00135A1C">
      <w:pPr>
        <w:spacing w:after="60" w:line="276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pl-PL"/>
        </w:rPr>
      </w:pPr>
    </w:p>
    <w:p w:rsidR="00135A1C" w:rsidRPr="00135A1C" w:rsidRDefault="00135A1C" w:rsidP="00135A1C">
      <w:pPr>
        <w:spacing w:after="60" w:line="276" w:lineRule="auto"/>
        <w:rPr>
          <w:rFonts w:ascii="Cambria" w:eastAsia="Batang" w:hAnsi="Cambria" w:cs="Arial"/>
          <w:b/>
          <w:bCs/>
          <w:sz w:val="20"/>
          <w:szCs w:val="20"/>
          <w:lang w:eastAsia="pl-PL"/>
        </w:rPr>
      </w:pPr>
    </w:p>
    <w:p w:rsidR="00135A1C" w:rsidRPr="00135A1C" w:rsidRDefault="00135A1C" w:rsidP="00135A1C">
      <w:pPr>
        <w:spacing w:after="60" w:line="276" w:lineRule="auto"/>
        <w:rPr>
          <w:rFonts w:ascii="Cambria" w:eastAsia="Batang" w:hAnsi="Cambria" w:cs="Arial"/>
          <w:b/>
          <w:bCs/>
          <w:sz w:val="20"/>
          <w:szCs w:val="20"/>
          <w:lang w:eastAsia="pl-PL"/>
        </w:rPr>
      </w:pPr>
    </w:p>
    <w:p w:rsidR="00135A1C" w:rsidRPr="00135A1C" w:rsidRDefault="00135A1C" w:rsidP="00135A1C">
      <w:pPr>
        <w:spacing w:after="60" w:line="276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pl-PL"/>
        </w:rPr>
      </w:pPr>
    </w:p>
    <w:p w:rsidR="00026858" w:rsidRDefault="00026858"/>
    <w:sectPr w:rsidR="00026858" w:rsidSect="00135A1C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1C"/>
    <w:rsid w:val="00026858"/>
    <w:rsid w:val="00135A1C"/>
    <w:rsid w:val="00241763"/>
    <w:rsid w:val="00541008"/>
    <w:rsid w:val="00637E9C"/>
    <w:rsid w:val="007F5B78"/>
    <w:rsid w:val="0086752B"/>
    <w:rsid w:val="00C61F8A"/>
    <w:rsid w:val="00CC7E45"/>
    <w:rsid w:val="00CE3F5B"/>
    <w:rsid w:val="00D21875"/>
    <w:rsid w:val="00D72372"/>
    <w:rsid w:val="00F7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2329"/>
  <w15:docId w15:val="{1AE1D54E-4FAF-47E7-99D4-5E5AAE0A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1644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Zamówienia Publiczne</cp:lastModifiedBy>
  <cp:revision>4</cp:revision>
  <cp:lastPrinted>2026-07-03T09:56:00Z</cp:lastPrinted>
  <dcterms:created xsi:type="dcterms:W3CDTF">2026-07-03T08:52:00Z</dcterms:created>
  <dcterms:modified xsi:type="dcterms:W3CDTF">2026-07-03T09:58:00Z</dcterms:modified>
</cp:coreProperties>
</file>