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Pr="008F29DF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8F29DF"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Pr="008F29D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Pr="008F29D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8F29DF"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Pr="008F29D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8F29DF"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Pr="008F29D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8F29DF"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Pr="008F29D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8F29DF"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Pr="008F29D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 w:rsidRPr="008F29DF"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 w:rsidRPr="008F29DF"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Pr="008F29D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 w:rsidRPr="008F29DF"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 w:rsidRPr="008F29DF"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Pr="008F29DF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 w:rsidRPr="008F29DF"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Pr="008F29DF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8F29DF">
        <w:rPr>
          <w:rFonts w:ascii="Calibri" w:eastAsia="Calibri" w:hAnsi="Calibri" w:cs="Calibri"/>
          <w:b/>
          <w:bCs/>
          <w:sz w:val="22"/>
          <w:szCs w:val="22"/>
          <w:lang w:eastAsia="ar-SA"/>
        </w:rPr>
        <w:t xml:space="preserve">OFERTA – Część nr </w:t>
      </w:r>
      <w:r w:rsidR="008F29DF" w:rsidRPr="008F29DF">
        <w:rPr>
          <w:rFonts w:ascii="Calibri" w:eastAsia="Calibri" w:hAnsi="Calibri" w:cs="Calibri"/>
          <w:b/>
          <w:bCs/>
          <w:sz w:val="22"/>
          <w:szCs w:val="22"/>
          <w:lang w:eastAsia="ar-SA"/>
        </w:rPr>
        <w:t>4</w:t>
      </w:r>
    </w:p>
    <w:p w:rsidR="00D11E30" w:rsidRDefault="00D11E30" w:rsidP="00FF553C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Pr="008F29DF" w:rsidRDefault="00925A70" w:rsidP="00FF553C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8F29DF">
        <w:rPr>
          <w:rFonts w:ascii="Calibri" w:eastAsia="Calibri" w:hAnsi="Calibri" w:cs="Calibri"/>
          <w:sz w:val="22"/>
          <w:szCs w:val="22"/>
          <w:lang w:eastAsia="ar-SA"/>
        </w:rPr>
        <w:t xml:space="preserve">W odpowiedzi na ogłoszenie dotyczące udzielenia zamówienia publicznego na  dostawę sprzętu medycznego, w  ramach zadania inwestycyjnego pod nazwą: </w:t>
      </w:r>
      <w:r w:rsidR="009141FB" w:rsidRPr="008F29DF">
        <w:rPr>
          <w:rFonts w:ascii="Calibri" w:eastAsiaTheme="minorHAnsi" w:hAnsi="Calibri" w:cs="Calibri"/>
          <w:sz w:val="22"/>
          <w:szCs w:val="22"/>
          <w:lang w:eastAsia="en-US"/>
        </w:rPr>
        <w:t>„</w:t>
      </w:r>
      <w:r w:rsidR="008F29DF" w:rsidRPr="008F29DF">
        <w:rPr>
          <w:rFonts w:ascii="Calibri" w:eastAsiaTheme="minorHAnsi" w:hAnsi="Calibri" w:cs="Calibri"/>
          <w:sz w:val="22"/>
          <w:szCs w:val="22"/>
          <w:lang w:eastAsia="en-US"/>
        </w:rPr>
        <w:t xml:space="preserve"> Zakup sprzętu medycznego dla Szpitala</w:t>
      </w:r>
      <w:r w:rsidR="009141FB" w:rsidRPr="008F29DF">
        <w:rPr>
          <w:rFonts w:ascii="Calibri" w:eastAsiaTheme="minorHAnsi" w:hAnsi="Calibri" w:cs="Calibri"/>
          <w:b/>
          <w:sz w:val="22"/>
          <w:szCs w:val="22"/>
          <w:lang w:eastAsia="en-US"/>
        </w:rPr>
        <w:t>”</w:t>
      </w:r>
      <w:r w:rsidR="00FF553C" w:rsidRPr="008F29DF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 </w:t>
      </w:r>
      <w:r w:rsidRPr="008F29DF">
        <w:rPr>
          <w:rFonts w:ascii="Calibri" w:hAnsi="Calibri" w:cs="Calibri"/>
          <w:sz w:val="22"/>
          <w:szCs w:val="22"/>
        </w:rPr>
        <w:t>składam następującą ofertę:</w:t>
      </w:r>
    </w:p>
    <w:p w:rsidR="000B4037" w:rsidRPr="008F29DF" w:rsidRDefault="000B4037" w:rsidP="006E5642">
      <w:pPr>
        <w:spacing w:after="160" w:line="259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0B4037" w:rsidRPr="008F29DF" w:rsidTr="00464C16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0B4037" w:rsidRPr="008F29DF" w:rsidRDefault="000B4037" w:rsidP="00464C16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0B4037" w:rsidRPr="008F29DF" w:rsidRDefault="000B4037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0B4037" w:rsidRPr="008F29DF" w:rsidRDefault="000B4037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0B4037" w:rsidRPr="008F29DF" w:rsidRDefault="000B4037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0B4037" w:rsidRPr="008F29DF" w:rsidRDefault="000B4037" w:rsidP="00464C16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0B4037" w:rsidRPr="008F29DF" w:rsidRDefault="000B4037" w:rsidP="00464C16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0B4037" w:rsidRPr="008F29DF" w:rsidRDefault="000B4037" w:rsidP="00464C16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0B4037" w:rsidRPr="008F29DF" w:rsidRDefault="000B4037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0B4037" w:rsidRPr="008F29DF" w:rsidRDefault="000B4037" w:rsidP="00464C16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0B4037" w:rsidRPr="008F29DF" w:rsidRDefault="000B4037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0B4037" w:rsidRPr="008F29DF" w:rsidRDefault="000B4037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B4037" w:rsidRPr="008F29DF" w:rsidRDefault="000B4037" w:rsidP="00464C16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0B4037" w:rsidRPr="008F29DF" w:rsidRDefault="000B4037" w:rsidP="00464C16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0B4037" w:rsidRPr="008F29DF" w:rsidTr="00464C16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B4037" w:rsidRPr="008F29DF" w:rsidRDefault="000B4037" w:rsidP="00464C16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B4037" w:rsidRPr="008F29DF" w:rsidRDefault="000B4037" w:rsidP="00464C16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37" w:rsidRPr="008F29DF" w:rsidRDefault="009037F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sz w:val="22"/>
                <w:szCs w:val="22"/>
              </w:rPr>
              <w:t>Kardiomo</w:t>
            </w:r>
            <w:r w:rsidR="00B842DB" w:rsidRPr="008F29DF">
              <w:rPr>
                <w:rFonts w:ascii="Calibri" w:hAnsi="Calibri" w:cs="Calibri"/>
                <w:b/>
                <w:bCs/>
                <w:sz w:val="22"/>
                <w:szCs w:val="22"/>
              </w:rPr>
              <w:t>nitor</w:t>
            </w:r>
            <w:r w:rsidR="00223D32" w:rsidRPr="008F29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jezdny</w:t>
            </w:r>
          </w:p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Cs/>
                <w:sz w:val="22"/>
                <w:szCs w:val="22"/>
              </w:rPr>
              <w:t>Nazwa:…………………………….……</w:t>
            </w:r>
          </w:p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Cs/>
                <w:sz w:val="22"/>
                <w:szCs w:val="22"/>
              </w:rPr>
              <w:t>Typ: ……………………………………..</w:t>
            </w:r>
          </w:p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Cs/>
                <w:sz w:val="22"/>
                <w:szCs w:val="22"/>
              </w:rPr>
              <w:t>Model: …………………………………</w:t>
            </w:r>
          </w:p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Cs/>
                <w:sz w:val="22"/>
                <w:szCs w:val="22"/>
              </w:rPr>
              <w:t>Producent: ……………………………</w:t>
            </w:r>
          </w:p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Cs/>
                <w:sz w:val="22"/>
                <w:szCs w:val="22"/>
              </w:rPr>
              <w:t>Kraj………………………</w:t>
            </w:r>
          </w:p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eastAsia="Calibri" w:hAnsi="Calibri" w:cs="Calibri"/>
                <w:sz w:val="22"/>
                <w:szCs w:val="22"/>
              </w:rPr>
              <w:t>Urządzenie fabrycznie nowe. Rok produkcji (nie starszy niż 202</w:t>
            </w:r>
            <w:r w:rsidR="00972A1F" w:rsidRPr="008F29DF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Pr="008F29DF">
              <w:rPr>
                <w:rFonts w:ascii="Calibri" w:eastAsia="Calibri" w:hAnsi="Calibri" w:cs="Calibri"/>
                <w:sz w:val="22"/>
                <w:szCs w:val="22"/>
              </w:rPr>
              <w:t>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37" w:rsidRPr="008F29DF" w:rsidRDefault="000B4037" w:rsidP="00464C16">
            <w:pPr>
              <w:tabs>
                <w:tab w:val="left" w:pos="907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37" w:rsidRPr="008F29DF" w:rsidRDefault="00A67D6E" w:rsidP="00464C16">
            <w:pPr>
              <w:tabs>
                <w:tab w:val="left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B4037" w:rsidRPr="008F29DF" w:rsidTr="00464C16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4037" w:rsidRPr="008F29DF" w:rsidRDefault="000B4037" w:rsidP="00464C16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8F29DF">
              <w:rPr>
                <w:rFonts w:ascii="Calibri" w:hAnsi="Calibri" w:cs="Calibr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F29DF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037" w:rsidRPr="008F29DF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0B4037" w:rsidRPr="008F29DF" w:rsidRDefault="000B4037" w:rsidP="000B4037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0B4037" w:rsidRPr="008F29DF" w:rsidRDefault="000B4037" w:rsidP="000B4037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 w:rsidRPr="008F29DF"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0B4037" w:rsidRPr="008F29DF" w:rsidRDefault="000B4037" w:rsidP="000B4037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 w:rsidRPr="008F29DF"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0B4037" w:rsidRPr="008F29DF" w:rsidRDefault="000B4037" w:rsidP="000B4037">
      <w:pPr>
        <w:ind w:left="-709"/>
        <w:rPr>
          <w:rFonts w:ascii="Calibri" w:hAnsi="Calibri" w:cs="Calibri"/>
          <w:sz w:val="22"/>
          <w:szCs w:val="22"/>
        </w:rPr>
      </w:pPr>
    </w:p>
    <w:p w:rsidR="008F29DF" w:rsidRPr="008F29DF" w:rsidRDefault="008F29DF" w:rsidP="008F29DF">
      <w:pPr>
        <w:ind w:left="-709"/>
        <w:rPr>
          <w:rFonts w:ascii="Calibri" w:hAnsi="Calibri" w:cs="Calibri"/>
          <w:color w:val="000000" w:themeColor="text1"/>
          <w:sz w:val="22"/>
          <w:szCs w:val="22"/>
        </w:rPr>
      </w:pPr>
      <w:r w:rsidRPr="008F29DF">
        <w:rPr>
          <w:rFonts w:ascii="Calibri" w:hAnsi="Calibri" w:cs="Calibri"/>
          <w:b/>
          <w:color w:val="000000" w:themeColor="text1"/>
          <w:sz w:val="22"/>
          <w:szCs w:val="22"/>
        </w:rPr>
        <w:t xml:space="preserve">Termin dostawy: </w:t>
      </w:r>
      <w:r w:rsidRPr="008F29DF">
        <w:rPr>
          <w:rFonts w:ascii="Calibri" w:hAnsi="Calibri" w:cs="Calibri"/>
          <w:color w:val="000000" w:themeColor="text1"/>
          <w:sz w:val="22"/>
          <w:szCs w:val="22"/>
        </w:rPr>
        <w:t>do 8 tygodni od podpisania umowy.</w:t>
      </w:r>
    </w:p>
    <w:p w:rsidR="000B4037" w:rsidRPr="008F29DF" w:rsidRDefault="000B4037" w:rsidP="000B4037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0B4037" w:rsidRPr="008F29DF" w:rsidRDefault="000B4037" w:rsidP="000B4037">
      <w:pPr>
        <w:ind w:left="-709"/>
        <w:rPr>
          <w:rFonts w:ascii="Calibri" w:hAnsi="Calibri" w:cs="Calibri"/>
          <w:sz w:val="22"/>
          <w:szCs w:val="22"/>
        </w:rPr>
      </w:pPr>
      <w:r w:rsidRPr="008F29DF">
        <w:rPr>
          <w:rFonts w:ascii="Calibri" w:hAnsi="Calibri" w:cs="Calibri"/>
          <w:b/>
          <w:sz w:val="22"/>
          <w:szCs w:val="22"/>
        </w:rPr>
        <w:t>Osoba do kontaktu</w:t>
      </w:r>
      <w:r w:rsidRPr="008F29DF">
        <w:rPr>
          <w:rFonts w:ascii="Calibri" w:hAnsi="Calibri" w:cs="Calibri"/>
          <w:sz w:val="22"/>
          <w:szCs w:val="22"/>
        </w:rPr>
        <w:t>: …………………………………</w:t>
      </w:r>
    </w:p>
    <w:p w:rsidR="000B4037" w:rsidRPr="008F29DF" w:rsidRDefault="000B4037" w:rsidP="000B4037">
      <w:pPr>
        <w:ind w:left="-709"/>
        <w:rPr>
          <w:rFonts w:ascii="Calibri" w:hAnsi="Calibri" w:cs="Calibri"/>
          <w:sz w:val="22"/>
          <w:szCs w:val="22"/>
        </w:rPr>
      </w:pPr>
    </w:p>
    <w:p w:rsidR="000B4037" w:rsidRDefault="000B4037" w:rsidP="000B4037">
      <w:pPr>
        <w:ind w:left="-709"/>
        <w:rPr>
          <w:rFonts w:ascii="Calibri" w:hAnsi="Calibri" w:cs="Calibri"/>
          <w:sz w:val="22"/>
          <w:szCs w:val="22"/>
        </w:rPr>
      </w:pPr>
      <w:r w:rsidRPr="008F29DF">
        <w:rPr>
          <w:rFonts w:ascii="Calibri" w:hAnsi="Calibri" w:cs="Calibri"/>
          <w:b/>
          <w:sz w:val="22"/>
          <w:szCs w:val="22"/>
        </w:rPr>
        <w:t>Adres e-mail:</w:t>
      </w:r>
      <w:r w:rsidRPr="008F29DF">
        <w:rPr>
          <w:rFonts w:ascii="Calibri" w:hAnsi="Calibri" w:cs="Calibri"/>
          <w:sz w:val="22"/>
          <w:szCs w:val="22"/>
        </w:rPr>
        <w:t xml:space="preserve"> ……………………………………..</w:t>
      </w:r>
      <w:r w:rsidR="00597DCC" w:rsidRPr="008F29DF">
        <w:rPr>
          <w:rFonts w:ascii="Calibri" w:hAnsi="Calibri" w:cs="Calibri"/>
          <w:sz w:val="22"/>
          <w:szCs w:val="22"/>
        </w:rPr>
        <w:br/>
      </w:r>
    </w:p>
    <w:p w:rsidR="008F29DF" w:rsidRDefault="008F29DF" w:rsidP="000B4037">
      <w:pPr>
        <w:ind w:left="-709"/>
        <w:rPr>
          <w:rFonts w:ascii="Calibri" w:hAnsi="Calibri" w:cs="Calibri"/>
          <w:sz w:val="22"/>
          <w:szCs w:val="22"/>
        </w:rPr>
      </w:pPr>
    </w:p>
    <w:p w:rsidR="008F29DF" w:rsidRDefault="008F29DF" w:rsidP="000B4037">
      <w:pPr>
        <w:ind w:left="-709"/>
        <w:rPr>
          <w:rFonts w:ascii="Calibri" w:hAnsi="Calibri" w:cs="Calibri"/>
          <w:sz w:val="22"/>
          <w:szCs w:val="22"/>
        </w:rPr>
      </w:pPr>
    </w:p>
    <w:p w:rsidR="00D11E30" w:rsidRPr="008F29DF" w:rsidRDefault="00D11E30" w:rsidP="000B4037">
      <w:pPr>
        <w:ind w:left="-709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C872EF" w:rsidRPr="008F29DF" w:rsidRDefault="00C872EF" w:rsidP="000B4037">
      <w:pPr>
        <w:ind w:left="-709"/>
        <w:rPr>
          <w:rFonts w:ascii="Calibri" w:hAnsi="Calibri" w:cs="Calibri"/>
          <w:sz w:val="22"/>
          <w:szCs w:val="22"/>
        </w:rPr>
      </w:pPr>
    </w:p>
    <w:p w:rsidR="000B4037" w:rsidRPr="008F29DF" w:rsidRDefault="000B4037" w:rsidP="000B4037">
      <w:pPr>
        <w:shd w:val="clear" w:color="auto" w:fill="FFFFFF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8F29DF">
        <w:rPr>
          <w:rFonts w:ascii="Calibri" w:eastAsia="Calibri" w:hAnsi="Calibri" w:cs="Calibri"/>
          <w:b/>
          <w:bCs/>
          <w:sz w:val="22"/>
          <w:szCs w:val="22"/>
          <w:lang w:eastAsia="ar-SA"/>
        </w:rPr>
        <w:lastRenderedPageBreak/>
        <w:t>PARAMETRY TECHNICZNE WYMAGANE  I OFEROWANE</w:t>
      </w:r>
    </w:p>
    <w:p w:rsidR="000B4037" w:rsidRPr="008F29DF" w:rsidRDefault="000B4037" w:rsidP="000B4037">
      <w:pPr>
        <w:shd w:val="clear" w:color="auto" w:fill="FFFFFF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0B4037" w:rsidRPr="008F29DF" w:rsidRDefault="000B4037" w:rsidP="000B4037">
      <w:pPr>
        <w:spacing w:after="1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F29DF">
        <w:rPr>
          <w:rFonts w:ascii="Calibri" w:eastAsia="Calibri" w:hAnsi="Calibri" w:cs="Calibri"/>
          <w:b/>
          <w:sz w:val="22"/>
          <w:szCs w:val="22"/>
        </w:rPr>
        <w:t xml:space="preserve">Część nr </w:t>
      </w:r>
      <w:r w:rsidR="008F29DF" w:rsidRPr="008F29DF">
        <w:rPr>
          <w:rFonts w:ascii="Calibri" w:eastAsia="Calibri" w:hAnsi="Calibri" w:cs="Calibri"/>
          <w:b/>
          <w:sz w:val="22"/>
          <w:szCs w:val="22"/>
        </w:rPr>
        <w:t>4</w:t>
      </w:r>
    </w:p>
    <w:p w:rsidR="000B4037" w:rsidRPr="008F29DF" w:rsidRDefault="000B4037" w:rsidP="000B4037">
      <w:pPr>
        <w:spacing w:after="120"/>
        <w:jc w:val="center"/>
        <w:rPr>
          <w:rFonts w:ascii="Calibri" w:eastAsia="Calibri" w:hAnsi="Calibri" w:cs="Calibri"/>
          <w:sz w:val="22"/>
          <w:szCs w:val="22"/>
        </w:rPr>
      </w:pPr>
      <w:r w:rsidRPr="008F29DF">
        <w:rPr>
          <w:rFonts w:ascii="Calibri" w:eastAsia="Calibri" w:hAnsi="Calibri" w:cs="Calibri"/>
          <w:sz w:val="22"/>
          <w:szCs w:val="22"/>
        </w:rPr>
        <w:t xml:space="preserve">Opis przedmiotu zamówienia – zestawienie parametrów wymaganych </w:t>
      </w:r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84"/>
        <w:gridCol w:w="4704"/>
        <w:gridCol w:w="2354"/>
        <w:gridCol w:w="2508"/>
      </w:tblGrid>
      <w:tr w:rsidR="000B4037" w:rsidRPr="008F29DF" w:rsidTr="0030183E">
        <w:trPr>
          <w:cantSplit/>
          <w:trHeight w:val="15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4037" w:rsidRPr="008F29DF" w:rsidRDefault="000B4037" w:rsidP="00464C16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4037" w:rsidRPr="008F29DF" w:rsidRDefault="000B4037" w:rsidP="00464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Parametr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4037" w:rsidRPr="008F29DF" w:rsidRDefault="000B4037" w:rsidP="00464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Wartość wymagana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4037" w:rsidRPr="008F29DF" w:rsidRDefault="000B4037" w:rsidP="00464C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Wartość oferowana przez Wykonawcę </w:t>
            </w:r>
            <w:r w:rsidRPr="008F29DF">
              <w:rPr>
                <w:rFonts w:ascii="Calibri" w:hAnsi="Calibri" w:cs="Calibri"/>
                <w:sz w:val="22"/>
                <w:szCs w:val="22"/>
              </w:rPr>
              <w:br/>
              <w:t>(podać oferowaną wartość w zależności od wartości wymaganej)</w:t>
            </w:r>
          </w:p>
        </w:tc>
      </w:tr>
      <w:tr w:rsidR="00D900E7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67" w:hanging="529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Pr="008F29DF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Kolorowy pojedynczy ekran w postaci płaskiego panelu LCD TFT o przekątnej minimum 15,5", rozdzielczości co najmniej 1300x700 pikseli. W obudowie monitora miejsce na akcesoria pomiarowe.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0E7" w:rsidRPr="008F29DF" w:rsidRDefault="00D900E7" w:rsidP="00D900E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TAK, podać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8F29DF" w:rsidRDefault="00D900E7" w:rsidP="00D900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00E7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Pr="008F29DF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Opisy i komunikaty ekranowe w języku polskim. Obsługa poprzez ekran dotykowy z funkcją obsługi gestów, przyciski funkcyjne oraz pokrętło. Fabrycznie skonfigurowane co najmniej trzy układy ekranu: normalny (krzywe dynamiczne i wartości parametrów),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minitrendów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 xml:space="preserve"> (krótkie trendy, krzywe dynamiczne i wartości parametrów), duże odczyty. 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00E7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Pr="008F29DF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Szybkie przełączanie między ekranami, bez wchodzenia do menu, za pomocą gestów np. przesunięcie w lewo lub </w:t>
            </w:r>
            <w:r w:rsidRPr="008F29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 prawo dwoma palcami po ekranie</w:t>
            </w:r>
            <w:r w:rsidRPr="008F29DF">
              <w:rPr>
                <w:rFonts w:ascii="Calibri" w:hAnsi="Calibri" w:cs="Calibri"/>
                <w:sz w:val="22"/>
                <w:szCs w:val="22"/>
              </w:rPr>
              <w:t>. Monitor wyposażony w funkcje demo oraz tryb szkoleniowy zawierający podstawowe instrukcje dotyczące korzystania z monitora.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6A40C2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00E7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Pr="008F29DF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Do 12 krzywych dynamicznych wyświetlanych jednocześnie na ekranie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00E7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Pr="008F29DF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Zasilanie sieciowe dostosowane do 230V / 50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Hz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>. Wewnętrzny akumulator, pozwalający na minimum 200 minut pracy w konfiguracji EKG, NIBP, SpO2.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00E7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Pr="008F29DF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Wbudowana bezprzewodowa karta WI-FI</w:t>
            </w:r>
            <w:r w:rsidR="00B842DB" w:rsidRPr="008F29DF">
              <w:rPr>
                <w:rFonts w:ascii="Calibri" w:hAnsi="Calibri" w:cs="Calibri"/>
                <w:sz w:val="22"/>
                <w:szCs w:val="22"/>
              </w:rPr>
              <w:t xml:space="preserve">, kompatybilność akcesoriów pomiarowych z kardiomonitorami </w:t>
            </w:r>
            <w:proofErr w:type="spellStart"/>
            <w:r w:rsidR="00B842DB" w:rsidRPr="008F29DF">
              <w:rPr>
                <w:rFonts w:ascii="Calibri" w:hAnsi="Calibri" w:cs="Calibri"/>
                <w:sz w:val="22"/>
                <w:szCs w:val="22"/>
              </w:rPr>
              <w:t>uMEC</w:t>
            </w:r>
            <w:proofErr w:type="spellEnd"/>
            <w:r w:rsidR="00B842DB" w:rsidRPr="008F29DF">
              <w:rPr>
                <w:rFonts w:ascii="Calibri" w:hAnsi="Calibri" w:cs="Calibri"/>
                <w:sz w:val="22"/>
                <w:szCs w:val="22"/>
              </w:rPr>
              <w:t xml:space="preserve"> posiadanymi przez zamawiającego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B4" w:rsidRPr="008F29DF" w:rsidRDefault="008163B4" w:rsidP="00816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TAK, podać</w:t>
            </w:r>
          </w:p>
          <w:p w:rsidR="008163B4" w:rsidRPr="008F29DF" w:rsidRDefault="008163B4" w:rsidP="008163B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F29DF">
              <w:rPr>
                <w:rFonts w:ascii="Calibri" w:eastAsia="Calibri" w:hAnsi="Calibri" w:cs="Calibri"/>
                <w:sz w:val="22"/>
                <w:szCs w:val="22"/>
              </w:rPr>
              <w:t>Parametr oceniany:</w:t>
            </w:r>
          </w:p>
          <w:p w:rsidR="008163B4" w:rsidRPr="008F29DF" w:rsidRDefault="008163B4" w:rsidP="00816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 - 10 pkt</w:t>
            </w:r>
          </w:p>
          <w:p w:rsidR="00B842DB" w:rsidRPr="008F29DF" w:rsidRDefault="008163B4" w:rsidP="00816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NIE - 0 pkt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00E7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Pr="008F29DF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Cicha praca urządzenia – chłodzenie konwekcyjne bez stosowania wentylatorów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00E7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00E7" w:rsidRPr="008F29DF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Stopień ochrony przed zalaniem wodą co najmniej IPX1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00E7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00E7" w:rsidRPr="008F29DF" w:rsidRDefault="00D900E7" w:rsidP="00D900E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Wyposażenie w złącza wejścia/wyjścia:</w:t>
            </w:r>
          </w:p>
          <w:p w:rsidR="00D900E7" w:rsidRPr="008F29DF" w:rsidRDefault="00D900E7" w:rsidP="00D900E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a)co najmniej 2 gniazda USB do podłączenia klawiatury, myszki komputerowej, skanera kodów paskowych, gniazdo do podłączenia ekranu kopiującego,</w:t>
            </w:r>
          </w:p>
          <w:p w:rsidR="00D900E7" w:rsidRPr="008F29DF" w:rsidRDefault="00B842DB" w:rsidP="00D900E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b</w:t>
            </w:r>
            <w:r w:rsidR="00D900E7" w:rsidRPr="008F29DF">
              <w:rPr>
                <w:rFonts w:ascii="Calibri" w:hAnsi="Calibri" w:cs="Calibri"/>
                <w:sz w:val="22"/>
                <w:szCs w:val="22"/>
              </w:rPr>
              <w:t>)kardiomonitor wyposażony w pokrywę zabezpieczającą złącza w przypadku ich nieużywania</w:t>
            </w:r>
          </w:p>
          <w:p w:rsidR="00D900E7" w:rsidRPr="008F29DF" w:rsidRDefault="00D900E7" w:rsidP="00D900E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8F29DF" w:rsidRDefault="00D900E7" w:rsidP="00D900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System alarmowy</w:t>
            </w: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System alarmowy generujący dwa rodzaje sygnalizacji alarmowej: alarmy fizjologiczne oraz techniczne. Alarmy klasyfikowane według czterech priorytetów w zależności od stopnia zagrożenia alarmu. Ustawianie granic alarmowych przez użytkownika oraz funkcja automatycznego ustawiania granic alarmowych na podstawie bieżących wartości parametrów. Ustawianie głośności alarmowania (co najmniej 9 poziomów do wyboru).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color w:val="000000"/>
                <w:sz w:val="22"/>
                <w:szCs w:val="22"/>
              </w:rPr>
              <w:t>Funkcja zawieszenia sygnalizacji alarmowej na czas wybrany przez użytkownika (do wyboru co najmniej wstrzymanie alarmów na 1, 2, 5, 10 i 15 minut) oraz możliwość zawieszenia alarmów na stałe (zabezpieczone hasłem).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W celu ułatwienia identyfikacji alarmującego monitora możliwość ustawienia oddzielnego wzorca dźwiękowego sygnalizacji alarmowej. </w:t>
            </w:r>
          </w:p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Co najmniej 3 wzorce do wyboru.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  <w:r w:rsidR="008163B4" w:rsidRPr="008F29DF">
              <w:rPr>
                <w:rFonts w:ascii="Calibri" w:hAnsi="Calibri" w:cs="Calibri"/>
                <w:sz w:val="22"/>
                <w:szCs w:val="22"/>
              </w:rPr>
              <w:t>, podać</w:t>
            </w:r>
          </w:p>
          <w:p w:rsidR="008163B4" w:rsidRPr="008F29DF" w:rsidRDefault="008163B4" w:rsidP="008163B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F29DF">
              <w:rPr>
                <w:rFonts w:ascii="Calibri" w:eastAsia="Calibri" w:hAnsi="Calibri" w:cs="Calibri"/>
                <w:sz w:val="22"/>
                <w:szCs w:val="22"/>
              </w:rPr>
              <w:t>Parametr oceniany:</w:t>
            </w:r>
          </w:p>
          <w:p w:rsidR="00B842DB" w:rsidRPr="008F29DF" w:rsidRDefault="008163B4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TAK - </w:t>
            </w:r>
            <w:r w:rsidR="00B842DB" w:rsidRPr="008F29DF">
              <w:rPr>
                <w:rFonts w:ascii="Calibri" w:hAnsi="Calibri" w:cs="Calibri"/>
                <w:sz w:val="22"/>
                <w:szCs w:val="22"/>
              </w:rPr>
              <w:t>5 pkt</w:t>
            </w:r>
          </w:p>
          <w:p w:rsidR="008163B4" w:rsidRPr="008F29DF" w:rsidRDefault="008163B4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NIE - 0 pkt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Mierzone parametry</w:t>
            </w: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EKG - pomiar częstości akcji serca. Zakres minimum 10 - 300/min. Ustawianie prędkości przesuwu krzywej EKG do wyboru co najmniej: 6.25; 12.5; 25; 50 mm/s. Ustawianie wzmocnienia krzywej EKG do wyboru co najmniej: x0.125; x0.25; 0.5; x1; x2; x4; auto. W komplecie z monitorem przewód EKG z kompletem 5 końcówek.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Analiza arytmii – wykrywanie co najmniej 27 kategorii zaburzeń rytmu w tym VF, ASYS, BRADY, TACHY, AF (we wszystkich monitorach).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Monitor wyposażony w funkcję analizującą jednocześnie sygnał EKG oraz sygnał krzywej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pletyzmograficznej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 xml:space="preserve"> w celu uzyskania dokładniejszych wyników analizy arytmii i pomiarów częstości tętna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Funkcja analizy zmian częstości akcji serca z ostatnich 24 godzin informacje o wartościach HR, ST, QT i arytmii: statystyka dot. częstości akcji serca, statystyka zdarzeń arytmii, statystyka pomiarów QT/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QTc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 xml:space="preserve">, statystyka maksymalnych i minimalnych wartości odcinka ST dla poszczególnych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odprowadzeń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>, statystyka dot. danych stymulatora.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Analiza odcinka ST – jednoczesny pomiar odchylenia odcinka ST w siedmiu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odprowadzeniach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 xml:space="preserve"> w zakresie co najmniej od -2,5 do +2,5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mV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>. Prezentacja zmian odchylenia ST w postaci wzorcowych odcinków ST z nanoszonymi na nie bieżącymi odcinkami.  Tryb alarmowania ST w oparciu wartości bezwzględne oraz względne w stosunku do linii odniesienia. Możliwość ustawienia granic alarmowych dla pojedynczego ST oraz dla dwóch ST.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Analiza zmian odcinka QT oraz obliczanie wartości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QTc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 xml:space="preserve"> wg. co najmniej 4 wzorów.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B4" w:rsidRPr="008F29DF" w:rsidRDefault="008163B4" w:rsidP="00816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TAK, podać</w:t>
            </w:r>
          </w:p>
          <w:p w:rsidR="008163B4" w:rsidRPr="008F29DF" w:rsidRDefault="008163B4" w:rsidP="008163B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F29DF">
              <w:rPr>
                <w:rFonts w:ascii="Calibri" w:eastAsia="Calibri" w:hAnsi="Calibri" w:cs="Calibri"/>
                <w:sz w:val="22"/>
                <w:szCs w:val="22"/>
              </w:rPr>
              <w:t>Parametr oceniany:</w:t>
            </w:r>
          </w:p>
          <w:p w:rsidR="008163B4" w:rsidRPr="008F29DF" w:rsidRDefault="008163B4" w:rsidP="00816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 - 5 pkt</w:t>
            </w:r>
          </w:p>
          <w:p w:rsidR="00B842DB" w:rsidRPr="008F29DF" w:rsidRDefault="008163B4" w:rsidP="00816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NIE - 0 pkt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RESP – pomiar częstości oddechu metodą impedancyjną. Zakres pomiarowy częstości oddechu co najmniej od 0 do 200 R/min. Możliwość wyboru odprowadzeni do monitorowania respiracji. Wybór prędkości przesuwu krzywych co najmniej: 3; 6.25; 12,5; 25; 50 mm/s.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Saturacja (SpO</w:t>
            </w:r>
            <w:r w:rsidRPr="008F29DF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8F29DF">
              <w:rPr>
                <w:rFonts w:ascii="Calibri" w:hAnsi="Calibri" w:cs="Calibri"/>
                <w:sz w:val="22"/>
                <w:szCs w:val="22"/>
              </w:rPr>
              <w:t xml:space="preserve">). Zakres pomiarowy %SpO2 0-100%. Zakres pomiarowy częstości pulsu co najmniej 20-300 P/min. Jednoczesne wyświetlanie krzywej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pletyzmograficznej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 xml:space="preserve"> oraz wartości % saturacji, częstości pulsu i wskaźnika perfuzji. Alarm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desaturacji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 xml:space="preserve">. W komplecie z monitorem  przewód interfejsowy oraz czujnik SpO2 na palec typu klips oraz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soft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Pomiar częstości oddechu na podstawie SpO2 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Nieinwazyjny pomiar ciśnienia </w:t>
            </w:r>
            <w:r w:rsidRPr="008F29DF">
              <w:rPr>
                <w:rFonts w:ascii="Calibri" w:hAnsi="Calibri" w:cs="Calibri"/>
                <w:bCs/>
                <w:sz w:val="22"/>
                <w:szCs w:val="22"/>
              </w:rPr>
              <w:t>(NIPC)</w:t>
            </w:r>
            <w:r w:rsidRPr="008F29DF">
              <w:rPr>
                <w:rFonts w:ascii="Calibri" w:hAnsi="Calibri" w:cs="Calibri"/>
                <w:sz w:val="22"/>
                <w:szCs w:val="22"/>
              </w:rPr>
              <w:t xml:space="preserve"> metoda oscylometryczna. Zakres pomiarowy ciśnienia skurczowego co najmniej od 30 do 290 mmHg. Pomiar ręczny, automatyczny i ciągły. Pomiar automatyczny z regulowanym interwałem co najmniej 1–480 minut. Pomiar sekwencyjny składający się z co najmniej 4 faz, z indywidualnym ustawianiem czasu trwania oraz interwału dla każdej fazy. Prezentacja wartości: skurczowej, rozkurczowej oraz średniej. Funkcja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stazy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>. Funkcja wstępnego ustawiania ciśnienia pompowania mankietu. Możliwość pomiaru ciśnienia metodą nieinwazyjną na tej samej kończynie co pomiar SpO2 bez wywoływania alarmu SpO2. Pomiar częstości pulsu wraz z nieinwazyjnym ciśnieniem co najmniej w zakresie od 30 do 300 P/min. W komplecie z monitorem przewód oraz mankiet w rozmiarze średnim, dużym oraz b. dużym.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Pomiar temperatury, dwa tory pomiarowe. Zakres pomiarowy co najmniej od 0 do 50</w:t>
            </w:r>
            <w:r w:rsidRPr="008F29DF">
              <w:rPr>
                <w:rFonts w:ascii="Calibri" w:hAnsi="Calibri" w:cs="Calibri"/>
                <w:sz w:val="22"/>
                <w:szCs w:val="22"/>
                <w:vertAlign w:val="superscript"/>
              </w:rPr>
              <w:t>o</w:t>
            </w:r>
            <w:r w:rsidRPr="008F29DF">
              <w:rPr>
                <w:rFonts w:ascii="Calibri" w:hAnsi="Calibri" w:cs="Calibri"/>
                <w:sz w:val="22"/>
                <w:szCs w:val="22"/>
              </w:rPr>
              <w:t xml:space="preserve">C. Wyświetlanie </w:t>
            </w:r>
            <w:r w:rsidRPr="008F29DF">
              <w:rPr>
                <w:rFonts w:ascii="Calibri" w:hAnsi="Calibri" w:cs="Calibri"/>
                <w:bCs/>
                <w:sz w:val="22"/>
                <w:szCs w:val="22"/>
              </w:rPr>
              <w:t>T1, T2</w:t>
            </w:r>
            <w:r w:rsidRPr="008F29DF">
              <w:rPr>
                <w:rFonts w:ascii="Calibri" w:hAnsi="Calibri" w:cs="Calibri"/>
                <w:sz w:val="22"/>
                <w:szCs w:val="22"/>
              </w:rPr>
              <w:t xml:space="preserve"> oraz różnicy między nimi. Wybór etykiety  temperatury zgodnie z miejscem pomiaru z listy co najmniej 10 etykiet zapisanych w pamięci monitora.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Przynajmniej 120-godzinne trendy wszystkich mierzonych parametrów, w postaci tabel i wykresów  z rozdzielczością od 1 minuty oraz 1200-godzinne trendy wszystkich mierzonych parametrów, w postaci tabel i wykresów  z rozdzielczością od 10 minuty 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 xml:space="preserve">Zapamiętywanie krzywych dynamicznych w czasie rzeczywistym (funkcja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full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F29DF">
              <w:rPr>
                <w:rFonts w:ascii="Calibri" w:hAnsi="Calibri" w:cs="Calibri"/>
                <w:sz w:val="22"/>
                <w:szCs w:val="22"/>
              </w:rPr>
              <w:t>dislosure</w:t>
            </w:r>
            <w:proofErr w:type="spellEnd"/>
            <w:r w:rsidRPr="008F29DF">
              <w:rPr>
                <w:rFonts w:ascii="Calibri" w:hAnsi="Calibri" w:cs="Calibri"/>
                <w:sz w:val="22"/>
                <w:szCs w:val="22"/>
              </w:rPr>
              <w:t>) – pamięć co najmniej 24 godzin.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Zapamiętywanie co najmniej 1000 zdarzeń alarmowych (krzywe i odpowiadające im wartości parametrów).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Pozostałe</w:t>
            </w: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Możliwość wyposażenia kardiomonitora w wbudowany rejestrator termiczny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Monitor wyposażony w funkcje obliczeń dawki (lekowych), hemodynamicznych,  natlenienia, nerkowych i wentylacji.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Monitor wyposażony w funkcję wprowadzania danych i obliczania punktacji wczesnego ostrzegania EWS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Monitor wyposażony w funkcję oceny stanu świadomości wg. skali Glasgow (GCS) – wprowadzanie danych, wyświetlanie punktacji łącznej i podrzędnej oraz ustawianie odstępu czasowego w jakim mają być wprowadzane dane.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9DF">
              <w:rPr>
                <w:rFonts w:ascii="Calibri" w:hAnsi="Calibri" w:cs="Calibri"/>
                <w:color w:val="000000"/>
                <w:sz w:val="22"/>
                <w:szCs w:val="22"/>
              </w:rPr>
              <w:t>Funkcja „</w:t>
            </w:r>
            <w:proofErr w:type="spellStart"/>
            <w:r w:rsidRPr="008F29DF">
              <w:rPr>
                <w:rFonts w:ascii="Calibri" w:hAnsi="Calibri" w:cs="Calibri"/>
                <w:color w:val="000000"/>
                <w:sz w:val="22"/>
                <w:szCs w:val="22"/>
              </w:rPr>
              <w:t>standby</w:t>
            </w:r>
            <w:proofErr w:type="spellEnd"/>
            <w:r w:rsidRPr="008F29DF">
              <w:rPr>
                <w:rFonts w:ascii="Calibri" w:hAnsi="Calibri" w:cs="Calibri"/>
                <w:color w:val="000000"/>
                <w:sz w:val="22"/>
                <w:szCs w:val="22"/>
              </w:rPr>
              <w:t>”, pozwalająca na wstrzymanie monitorowania pacjenta, związane np. z czasowym odłączeniem go od monitora, bez konieczności wyłączania monitora, oraz na szybkie, ponowne uruchomienie monitorowania.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color w:val="000000"/>
                <w:sz w:val="22"/>
                <w:szCs w:val="22"/>
              </w:rPr>
              <w:t>Funkcja „tryb prywatny” pozwalająca - w przypadku podłączenia urządzenia do centrali - na ukrycie danych przed pacjentem i wyświetlanie ich tylko na stanowisku centralnym.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Możliwość współpracy ze stacją centralnego nadzoru przystosowanej również do obsługi monitorów modułowych oraz nadajników telemetrycznych</w:t>
            </w:r>
            <w:r w:rsidR="00073696" w:rsidRPr="008F29D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1323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Pr="008F29DF" w:rsidRDefault="00FE2C12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9DF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A71323" w:rsidRPr="008F29DF">
              <w:rPr>
                <w:rFonts w:ascii="Calibri" w:hAnsi="Calibri" w:cs="Calibri"/>
                <w:color w:val="000000"/>
                <w:sz w:val="22"/>
                <w:szCs w:val="22"/>
              </w:rPr>
              <w:t>tatyw jezdny z półką do mocowania monitora i koszykiem na akcesoria.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8F29DF" w:rsidRDefault="00A71323" w:rsidP="00A71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3B1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8F29DF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Pr="008F29DF" w:rsidRDefault="003433B1" w:rsidP="003433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Instrukcja obsługi w języku polskim (dostarczyć wraz z aparatem)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8F29DF" w:rsidRDefault="003433B1" w:rsidP="00343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8F29DF" w:rsidRDefault="003433B1" w:rsidP="00343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3B1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8F29DF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Pr="008F29DF" w:rsidRDefault="003433B1" w:rsidP="003433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Certyfikat CE  (dokumenty załączyć)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8F29DF" w:rsidRDefault="003433B1" w:rsidP="00343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8F29DF" w:rsidRDefault="003433B1" w:rsidP="00343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3B1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8F29DF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Pr="008F29DF" w:rsidRDefault="003433B1" w:rsidP="003433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Autoryzacja producenta na serwis i sprzedaż zaoferowanego urządzenia na terenie Polski (dokumenty załączyć)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8F29DF" w:rsidRDefault="003433B1" w:rsidP="00343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8F29DF" w:rsidRDefault="003433B1" w:rsidP="00343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3B1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8F29DF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Pr="008F29DF" w:rsidRDefault="003433B1" w:rsidP="003433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Nieodpłatne dostępy do kodów serwisowych po zakończeniu gwarancji.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8F29DF" w:rsidRDefault="003433B1" w:rsidP="00343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8F29DF" w:rsidRDefault="003433B1" w:rsidP="00343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3B1" w:rsidRPr="008F29DF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8F29DF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libri" w:hAnsi="Calibri" w:cs="Calibri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Pr="008F29DF" w:rsidRDefault="003433B1" w:rsidP="003433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Gwarancja minimum 24 miesiące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8F29DF" w:rsidRDefault="003433B1" w:rsidP="00343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9DF">
              <w:rPr>
                <w:rFonts w:ascii="Calibri" w:hAnsi="Calibri" w:cs="Calibri"/>
                <w:sz w:val="22"/>
                <w:szCs w:val="22"/>
              </w:rPr>
              <w:t>TAK, podać</w:t>
            </w:r>
          </w:p>
          <w:p w:rsidR="006A40C2" w:rsidRPr="008F29DF" w:rsidRDefault="006A40C2" w:rsidP="006A40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F29DF">
              <w:rPr>
                <w:rFonts w:ascii="Calibri" w:eastAsia="Calibri" w:hAnsi="Calibri" w:cs="Calibri"/>
                <w:sz w:val="22"/>
                <w:szCs w:val="22"/>
              </w:rPr>
              <w:t>Parametr oceniany:</w:t>
            </w:r>
          </w:p>
          <w:p w:rsidR="006A40C2" w:rsidRPr="008F29DF" w:rsidRDefault="006A40C2" w:rsidP="006A40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F29DF">
              <w:rPr>
                <w:rFonts w:ascii="Calibri" w:eastAsia="Calibri" w:hAnsi="Calibri" w:cs="Calibri"/>
                <w:sz w:val="22"/>
                <w:szCs w:val="22"/>
              </w:rPr>
              <w:t>24 miesiące- 0pkt</w:t>
            </w:r>
          </w:p>
          <w:p w:rsidR="006A40C2" w:rsidRPr="008F29DF" w:rsidRDefault="006A40C2" w:rsidP="006A40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F29DF">
              <w:rPr>
                <w:rFonts w:ascii="Calibri" w:eastAsia="Calibri" w:hAnsi="Calibri" w:cs="Calibri"/>
                <w:sz w:val="22"/>
                <w:szCs w:val="22"/>
              </w:rPr>
              <w:t xml:space="preserve">36 miesięcy- </w:t>
            </w:r>
            <w:r w:rsidR="00B842DB" w:rsidRPr="008F29DF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08F29DF">
              <w:rPr>
                <w:rFonts w:ascii="Calibri" w:eastAsia="Calibri" w:hAnsi="Calibri" w:cs="Calibri"/>
                <w:sz w:val="22"/>
                <w:szCs w:val="22"/>
              </w:rPr>
              <w:t>0 pkt</w:t>
            </w:r>
          </w:p>
          <w:p w:rsidR="006A40C2" w:rsidRPr="008F29DF" w:rsidRDefault="006A40C2" w:rsidP="006A40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F29DF">
              <w:rPr>
                <w:rFonts w:ascii="Calibri" w:eastAsia="Calibri" w:hAnsi="Calibri" w:cs="Calibri"/>
                <w:sz w:val="22"/>
                <w:szCs w:val="22"/>
              </w:rPr>
              <w:t xml:space="preserve">48 miesięcy – </w:t>
            </w:r>
            <w:r w:rsidR="00B842DB" w:rsidRPr="008F29DF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Pr="008F29DF">
              <w:rPr>
                <w:rFonts w:ascii="Calibri" w:eastAsia="Calibri" w:hAnsi="Calibri" w:cs="Calibri"/>
                <w:sz w:val="22"/>
                <w:szCs w:val="22"/>
              </w:rPr>
              <w:t>0 pkt</w:t>
            </w:r>
          </w:p>
          <w:p w:rsidR="006A40C2" w:rsidRPr="008F29DF" w:rsidRDefault="006A40C2" w:rsidP="00343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8F29DF" w:rsidRDefault="003433B1" w:rsidP="00343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B4037" w:rsidRPr="008F29DF" w:rsidRDefault="000B4037" w:rsidP="000B4037">
      <w:pPr>
        <w:rPr>
          <w:rFonts w:ascii="Calibri" w:eastAsia="Calibri" w:hAnsi="Calibri" w:cs="Calibri"/>
          <w:sz w:val="22"/>
          <w:szCs w:val="22"/>
        </w:rPr>
      </w:pPr>
    </w:p>
    <w:p w:rsidR="00690370" w:rsidRPr="008F29DF" w:rsidRDefault="00690370" w:rsidP="005C1EF3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sectPr w:rsidR="00690370" w:rsidRPr="008F2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77" w:rsidRDefault="00DD1077" w:rsidP="000D4E7D">
      <w:r>
        <w:separator/>
      </w:r>
    </w:p>
  </w:endnote>
  <w:endnote w:type="continuationSeparator" w:id="0">
    <w:p w:rsidR="00DD1077" w:rsidRDefault="00DD1077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77" w:rsidRDefault="00DD1077" w:rsidP="000D4E7D">
      <w:r>
        <w:separator/>
      </w:r>
    </w:p>
  </w:footnote>
  <w:footnote w:type="continuationSeparator" w:id="0">
    <w:p w:rsidR="00DD1077" w:rsidRDefault="00DD1077" w:rsidP="000D4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F31"/>
    <w:multiLevelType w:val="hybridMultilevel"/>
    <w:tmpl w:val="E2FEBF90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CD3"/>
    <w:rsid w:val="0004215F"/>
    <w:rsid w:val="00064274"/>
    <w:rsid w:val="00073696"/>
    <w:rsid w:val="000B20BF"/>
    <w:rsid w:val="000B4037"/>
    <w:rsid w:val="000D4E7D"/>
    <w:rsid w:val="00123CEE"/>
    <w:rsid w:val="00164963"/>
    <w:rsid w:val="00193940"/>
    <w:rsid w:val="001A5E4B"/>
    <w:rsid w:val="001E7B11"/>
    <w:rsid w:val="00223D32"/>
    <w:rsid w:val="00233C9C"/>
    <w:rsid w:val="002619DE"/>
    <w:rsid w:val="002A76E6"/>
    <w:rsid w:val="002C31E0"/>
    <w:rsid w:val="002D3D36"/>
    <w:rsid w:val="002D55BA"/>
    <w:rsid w:val="0030183E"/>
    <w:rsid w:val="0031674E"/>
    <w:rsid w:val="003326EC"/>
    <w:rsid w:val="0033712D"/>
    <w:rsid w:val="003433B1"/>
    <w:rsid w:val="00346824"/>
    <w:rsid w:val="003F1CA6"/>
    <w:rsid w:val="00406186"/>
    <w:rsid w:val="004359E4"/>
    <w:rsid w:val="004646AB"/>
    <w:rsid w:val="00464C16"/>
    <w:rsid w:val="00510005"/>
    <w:rsid w:val="00597DCC"/>
    <w:rsid w:val="005A2DA4"/>
    <w:rsid w:val="005C1EF3"/>
    <w:rsid w:val="00615B2E"/>
    <w:rsid w:val="00690370"/>
    <w:rsid w:val="006A40C2"/>
    <w:rsid w:val="006E5642"/>
    <w:rsid w:val="00767D44"/>
    <w:rsid w:val="0078407C"/>
    <w:rsid w:val="008163B4"/>
    <w:rsid w:val="00823C89"/>
    <w:rsid w:val="00826616"/>
    <w:rsid w:val="008C1C1B"/>
    <w:rsid w:val="008E4815"/>
    <w:rsid w:val="008E6A69"/>
    <w:rsid w:val="008F1D77"/>
    <w:rsid w:val="008F29DF"/>
    <w:rsid w:val="009037F7"/>
    <w:rsid w:val="009141FB"/>
    <w:rsid w:val="00925A70"/>
    <w:rsid w:val="009331C3"/>
    <w:rsid w:val="00972A1F"/>
    <w:rsid w:val="0097687E"/>
    <w:rsid w:val="00997DB4"/>
    <w:rsid w:val="00A46D6D"/>
    <w:rsid w:val="00A67D6E"/>
    <w:rsid w:val="00A71323"/>
    <w:rsid w:val="00A967AC"/>
    <w:rsid w:val="00AA635E"/>
    <w:rsid w:val="00B255A2"/>
    <w:rsid w:val="00B667B1"/>
    <w:rsid w:val="00B842DB"/>
    <w:rsid w:val="00BF6D53"/>
    <w:rsid w:val="00C23837"/>
    <w:rsid w:val="00C54BB1"/>
    <w:rsid w:val="00C872EF"/>
    <w:rsid w:val="00D11E30"/>
    <w:rsid w:val="00D129F8"/>
    <w:rsid w:val="00D2335A"/>
    <w:rsid w:val="00D900E7"/>
    <w:rsid w:val="00D90406"/>
    <w:rsid w:val="00DD1077"/>
    <w:rsid w:val="00DE3A4D"/>
    <w:rsid w:val="00DF1631"/>
    <w:rsid w:val="00E04137"/>
    <w:rsid w:val="00E81615"/>
    <w:rsid w:val="00EB7FA7"/>
    <w:rsid w:val="00EE1528"/>
    <w:rsid w:val="00F37C9A"/>
    <w:rsid w:val="00F955C1"/>
    <w:rsid w:val="00FE2C12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C711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aliases w:val="sw tekst,CW_Lista,L1,Numerowanie,Akapit z listą BS,ISCG Numerowanie,lp1,List Paragraph,BulletC,Kolorowa lista — akcent 11,Obiekt,Akapit z listą 1,Bulleted list,Preambuła,Colorful Shading - Accent 31,Light List - Accent 51,Lista num"/>
    <w:basedOn w:val="Normalny"/>
    <w:link w:val="AkapitzlistZnak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List Paragraph Znak,BulletC Znak,Kolorowa lista — akcent 11 Znak,Obiekt Znak,Akapit z listą 1 Znak,Bulleted list Znak"/>
    <w:link w:val="Akapitzlist"/>
    <w:uiPriority w:val="34"/>
    <w:qFormat/>
    <w:locked/>
    <w:rsid w:val="009037F7"/>
  </w:style>
  <w:style w:type="paragraph" w:customStyle="1" w:styleId="Style10">
    <w:name w:val="Style10"/>
    <w:basedOn w:val="Normalny"/>
    <w:rsid w:val="002C31E0"/>
    <w:pPr>
      <w:widowControl w:val="0"/>
      <w:suppressAutoHyphens/>
      <w:autoSpaceDE w:val="0"/>
      <w:jc w:val="center"/>
    </w:pPr>
    <w:rPr>
      <w:rFonts w:ascii="Trebuchet MS" w:hAnsi="Trebuchet MS" w:cs="Trebuchet M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CE301-0BF5-484C-BA33-3F3FCC3A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1307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14</cp:revision>
  <dcterms:created xsi:type="dcterms:W3CDTF">2026-03-13T12:56:00Z</dcterms:created>
  <dcterms:modified xsi:type="dcterms:W3CDTF">2026-05-27T06:45:00Z</dcterms:modified>
</cp:coreProperties>
</file>