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Pr="00384B39" w:rsidRDefault="00925A70" w:rsidP="00925A70">
      <w:pPr>
        <w:shd w:val="clear" w:color="auto" w:fill="FFFFFF"/>
        <w:suppressAutoHyphens/>
        <w:ind w:left="6372" w:firstLine="708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Wykonawca:</w:t>
      </w: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…………………………..………</w:t>
      </w: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(</w:t>
      </w:r>
      <w:r w:rsidRPr="00384B39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  <w:t>pełna nazwa/firma, adres)</w:t>
      </w: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NIP</w:t>
      </w:r>
      <w:r w:rsidRPr="00384B39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Pr="00384B39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Pr="00384B39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OFERTA – Część nr 1</w:t>
      </w:r>
      <w:r w:rsidR="00384B39" w:rsidRPr="00384B39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5</w:t>
      </w:r>
    </w:p>
    <w:p w:rsidR="003555E5" w:rsidRPr="005519CC" w:rsidRDefault="003555E5" w:rsidP="003555E5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5C1EF3" w:rsidRPr="00384B39" w:rsidRDefault="005C1EF3" w:rsidP="005C1EF3">
      <w:pPr>
        <w:spacing w:after="60" w:line="276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5C1EF3" w:rsidRPr="00384B39" w:rsidTr="00464C16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5C1EF3" w:rsidRPr="00384B39" w:rsidRDefault="005C1EF3" w:rsidP="00464C1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:rsidR="005C1EF3" w:rsidRPr="00384B39" w:rsidRDefault="005C1EF3" w:rsidP="00464C1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VAT</w:t>
            </w:r>
          </w:p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Wartość brutto</w:t>
            </w:r>
          </w:p>
          <w:p w:rsidR="005C1EF3" w:rsidRPr="00384B39" w:rsidRDefault="005C1EF3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5C1EF3" w:rsidRPr="00384B39" w:rsidTr="00464C16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F3" w:rsidRPr="00384B39" w:rsidRDefault="003433B1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Wózek pielęgniarski pomiarowy</w:t>
            </w:r>
          </w:p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F3" w:rsidRPr="00384B39" w:rsidRDefault="002C31E0" w:rsidP="00464C1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C1EF3" w:rsidRPr="00384B39" w:rsidTr="00464C16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EF3" w:rsidRPr="00384B39" w:rsidRDefault="005C1EF3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5C1EF3" w:rsidRPr="00384B39" w:rsidRDefault="005C1EF3" w:rsidP="005C1EF3">
      <w:pPr>
        <w:spacing w:after="60" w:line="276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</w:pPr>
    </w:p>
    <w:p w:rsidR="005C1EF3" w:rsidRPr="00384B39" w:rsidRDefault="005C1EF3" w:rsidP="005C1EF3">
      <w:pPr>
        <w:spacing w:after="60" w:line="276" w:lineRule="auto"/>
        <w:ind w:left="-709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</w:pPr>
      <w:r w:rsidRPr="00384B39"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  <w:t>UWAGA!</w:t>
      </w:r>
    </w:p>
    <w:p w:rsidR="005C1EF3" w:rsidRPr="00384B39" w:rsidRDefault="005C1EF3" w:rsidP="005C1EF3">
      <w:pPr>
        <w:spacing w:after="60" w:line="276" w:lineRule="auto"/>
        <w:ind w:left="-709"/>
        <w:jc w:val="both"/>
        <w:rPr>
          <w:rFonts w:asciiTheme="minorHAnsi" w:eastAsia="Batang" w:hAnsiTheme="minorHAnsi" w:cstheme="minorHAnsi"/>
          <w:bCs/>
          <w:sz w:val="22"/>
          <w:szCs w:val="22"/>
          <w:lang w:eastAsia="x-none"/>
        </w:rPr>
      </w:pPr>
      <w:r w:rsidRPr="00384B39">
        <w:rPr>
          <w:rFonts w:asciiTheme="minorHAnsi" w:eastAsia="Batang" w:hAnsiTheme="minorHAnsi" w:cstheme="minorHAns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5C1EF3" w:rsidRPr="00384B39" w:rsidRDefault="005C1EF3" w:rsidP="005C1EF3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3555E5" w:rsidRDefault="003555E5" w:rsidP="003555E5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5C1EF3" w:rsidRPr="00384B39" w:rsidRDefault="005C1EF3" w:rsidP="005C1EF3">
      <w:pPr>
        <w:ind w:left="-709"/>
        <w:rPr>
          <w:rFonts w:asciiTheme="minorHAnsi" w:hAnsiTheme="minorHAnsi" w:cstheme="minorHAnsi"/>
          <w:color w:val="FF0000"/>
          <w:sz w:val="22"/>
          <w:szCs w:val="22"/>
        </w:rPr>
      </w:pPr>
    </w:p>
    <w:p w:rsidR="005C1EF3" w:rsidRPr="00384B39" w:rsidRDefault="005C1EF3" w:rsidP="005C1EF3">
      <w:pPr>
        <w:ind w:left="-709"/>
        <w:rPr>
          <w:rFonts w:asciiTheme="minorHAnsi" w:hAnsiTheme="minorHAnsi" w:cstheme="minorHAnsi"/>
          <w:sz w:val="22"/>
          <w:szCs w:val="22"/>
        </w:rPr>
      </w:pPr>
      <w:r w:rsidRPr="00384B39">
        <w:rPr>
          <w:rFonts w:asciiTheme="minorHAnsi" w:hAnsiTheme="minorHAnsi" w:cstheme="minorHAnsi"/>
          <w:b/>
          <w:sz w:val="22"/>
          <w:szCs w:val="22"/>
        </w:rPr>
        <w:t>Osoba do kontaktu</w:t>
      </w:r>
      <w:r w:rsidRPr="00384B39">
        <w:rPr>
          <w:rFonts w:asciiTheme="minorHAnsi" w:hAnsiTheme="minorHAnsi" w:cstheme="minorHAnsi"/>
          <w:sz w:val="22"/>
          <w:szCs w:val="22"/>
        </w:rPr>
        <w:t>: …………………………………</w:t>
      </w:r>
    </w:p>
    <w:p w:rsidR="005C1EF3" w:rsidRPr="00384B39" w:rsidRDefault="005C1EF3" w:rsidP="005C1EF3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5C1EF3" w:rsidRPr="00384B39" w:rsidRDefault="005C1EF3" w:rsidP="005C1EF3">
      <w:pPr>
        <w:ind w:left="-709"/>
        <w:rPr>
          <w:rFonts w:asciiTheme="minorHAnsi" w:hAnsiTheme="minorHAnsi" w:cstheme="minorHAnsi"/>
          <w:sz w:val="22"/>
          <w:szCs w:val="22"/>
        </w:rPr>
      </w:pPr>
      <w:r w:rsidRPr="00384B39">
        <w:rPr>
          <w:rFonts w:asciiTheme="minorHAnsi" w:hAnsiTheme="minorHAnsi" w:cstheme="minorHAnsi"/>
          <w:b/>
          <w:sz w:val="22"/>
          <w:szCs w:val="22"/>
        </w:rPr>
        <w:t>Adres e-mail:</w:t>
      </w:r>
      <w:r w:rsidRPr="00384B39">
        <w:rPr>
          <w:rFonts w:asciiTheme="minorHAnsi" w:hAnsiTheme="minorHAnsi" w:cstheme="minorHAnsi"/>
          <w:sz w:val="22"/>
          <w:szCs w:val="22"/>
        </w:rPr>
        <w:t xml:space="preserve"> ……………………………………..</w:t>
      </w:r>
    </w:p>
    <w:p w:rsidR="005C1EF3" w:rsidRPr="00384B39" w:rsidRDefault="005C1EF3" w:rsidP="005C1EF3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5C1EF3" w:rsidRPr="00384B39" w:rsidRDefault="005C1EF3" w:rsidP="005C1EF3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384B39">
        <w:rPr>
          <w:rFonts w:asciiTheme="minorHAnsi" w:eastAsia="Calibri" w:hAnsiTheme="minorHAnsi" w:cstheme="minorHAnsi"/>
          <w:b/>
          <w:bCs/>
          <w:lang w:eastAsia="ar-SA"/>
        </w:rPr>
        <w:t>PARAMETRY TECHNICZNE WYMAGANE  I OFEROWANE</w:t>
      </w:r>
    </w:p>
    <w:p w:rsidR="005C1EF3" w:rsidRPr="00384B39" w:rsidRDefault="005C1EF3" w:rsidP="005C1EF3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lang w:eastAsia="ar-SA"/>
        </w:rPr>
      </w:pPr>
    </w:p>
    <w:p w:rsidR="005C1EF3" w:rsidRPr="00384B39" w:rsidRDefault="005C1EF3" w:rsidP="005C1EF3">
      <w:pPr>
        <w:spacing w:after="12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384B39">
        <w:rPr>
          <w:rFonts w:asciiTheme="minorHAnsi" w:eastAsia="Calibri" w:hAnsiTheme="minorHAnsi" w:cstheme="minorHAnsi"/>
          <w:b/>
        </w:rPr>
        <w:t xml:space="preserve">Część nr </w:t>
      </w:r>
      <w:r w:rsidR="00384B39" w:rsidRPr="00384B39">
        <w:rPr>
          <w:rFonts w:asciiTheme="minorHAnsi" w:eastAsia="Calibri" w:hAnsiTheme="minorHAnsi" w:cstheme="minorHAnsi"/>
          <w:b/>
        </w:rPr>
        <w:t>15</w:t>
      </w:r>
    </w:p>
    <w:p w:rsidR="005C1EF3" w:rsidRPr="003555E5" w:rsidRDefault="005C1EF3" w:rsidP="003555E5">
      <w:pPr>
        <w:spacing w:after="120"/>
        <w:jc w:val="center"/>
        <w:rPr>
          <w:rFonts w:asciiTheme="minorHAnsi" w:eastAsia="Calibri" w:hAnsiTheme="minorHAnsi" w:cstheme="minorHAnsi"/>
        </w:rPr>
      </w:pPr>
      <w:r w:rsidRPr="00384B39">
        <w:rPr>
          <w:rFonts w:asciiTheme="minorHAnsi" w:eastAsia="Calibri" w:hAnsiTheme="minorHAnsi" w:cstheme="minorHAnsi"/>
        </w:rPr>
        <w:t xml:space="preserve">Opis przedmiotu zamówienia – zestawienie parametrów wymaganych </w:t>
      </w:r>
      <w:bookmarkStart w:id="0" w:name="_GoBack"/>
      <w:bookmarkEnd w:id="0"/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9"/>
        <w:gridCol w:w="4950"/>
        <w:gridCol w:w="2252"/>
        <w:gridCol w:w="2399"/>
      </w:tblGrid>
      <w:tr w:rsidR="005C1EF3" w:rsidRPr="00384B39" w:rsidTr="005C1EF3">
        <w:trPr>
          <w:cantSplit/>
          <w:trHeight w:val="15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1EF3" w:rsidRPr="00384B39" w:rsidRDefault="005C1EF3" w:rsidP="00464C1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C1EF3" w:rsidRPr="00384B39" w:rsidRDefault="005C1EF3" w:rsidP="00464C16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Parametr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C1EF3" w:rsidRPr="00384B39" w:rsidRDefault="005C1EF3" w:rsidP="00464C16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Wartość wymagana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C1EF3" w:rsidRPr="00384B39" w:rsidRDefault="005C1EF3" w:rsidP="00464C16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Wartość oferowana przez Wykonawcę </w:t>
            </w:r>
            <w:r w:rsidRPr="00384B39">
              <w:rPr>
                <w:rFonts w:asciiTheme="minorHAnsi" w:hAnsiTheme="minorHAnsi" w:cstheme="minorHAnsi"/>
              </w:rPr>
              <w:br/>
              <w:t>(podać oferowaną wartość w zależności od wartości wymaganej)</w:t>
            </w: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hanging="92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</w:rPr>
              <w:t>Monitor przeznaczony do monitorowania nieinwazyjnego ciśnienia krwi, saturacji krwi, częstości pulsu oraz temperatury u dorosłych i dzieci.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1E0" w:rsidRPr="00384B39" w:rsidRDefault="002C31E0" w:rsidP="002C31E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Urządzenie przystosowane do pracy zarówno w trybie monitorowania ciągłego (do długoterminowego monitorowania pacjenta) jak i w trybie kontroli wyrywkowej (Spot </w:t>
            </w:r>
            <w:proofErr w:type="spellStart"/>
            <w:r w:rsidRPr="00384B39">
              <w:rPr>
                <w:rFonts w:asciiTheme="minorHAnsi" w:hAnsiTheme="minorHAnsi" w:cstheme="minorHAnsi"/>
              </w:rPr>
              <w:t>Check</w:t>
            </w:r>
            <w:proofErr w:type="spellEnd"/>
            <w:r w:rsidRPr="00384B39">
              <w:rPr>
                <w:rFonts w:asciiTheme="minorHAnsi" w:hAnsiTheme="minorHAnsi" w:cstheme="minorHAnsi"/>
              </w:rPr>
              <w:t xml:space="preserve"> - do wykonywania doraźnych pomiarów w krótkim czasie). Szybkie przełączanie pomiędzy trybami pracy bez konieczności wchodzenia do menu urządzenia.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Monitor wyposażony w wewnętrzną, dedykowaną kartę sieciową </w:t>
            </w:r>
            <w:proofErr w:type="spellStart"/>
            <w:r w:rsidRPr="00384B39">
              <w:rPr>
                <w:rFonts w:asciiTheme="minorHAnsi" w:hAnsiTheme="minorHAnsi" w:cstheme="minorHAnsi"/>
              </w:rPr>
              <w:t>WiFi</w:t>
            </w:r>
            <w:proofErr w:type="spellEnd"/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Fabrycznie skonfigurowane tryby konfiguracji w zależności od obszaru pracy. Do wyboru co najmniej tryby: Oddziały szpitalne, Gabinet Lekarski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1E0" w:rsidRPr="00384B39" w:rsidRDefault="002C31E0" w:rsidP="002C31E0">
            <w:pPr>
              <w:pStyle w:val="Style10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sz w:val="22"/>
                <w:szCs w:val="22"/>
              </w:rPr>
              <w:t>Kolorowy pojedynczy ekran w postaci płaskiego panelu LCD o przekątnej minimum 10", rozdzielczości co najmniej 1200x800 pikseli.</w:t>
            </w:r>
          </w:p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</w:rPr>
              <w:t>W celu ułatwienia obserwacji ekran monitora odchylony pod kątem względem podstawy, wyświetlanie w pozycji pionowej.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Opisy i komunikaty ekranowe w języku polskim. Obsługa poprzez pojemnościowy ekran dotykowy bez dodatkowych przycisków i pokręteł. Obsługa za pomocą pojedynczych dotknięć oraz przesuwaniem palcami po ekranie. 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Zasilanie sieciowe dostosowane do 230V / 50 </w:t>
            </w:r>
            <w:proofErr w:type="spellStart"/>
            <w:r w:rsidRPr="00384B39">
              <w:rPr>
                <w:rFonts w:asciiTheme="minorHAnsi" w:hAnsiTheme="minorHAnsi" w:cstheme="minorHAnsi"/>
              </w:rPr>
              <w:t>Hz</w:t>
            </w:r>
            <w:proofErr w:type="spellEnd"/>
            <w:r w:rsidRPr="00384B39">
              <w:rPr>
                <w:rFonts w:asciiTheme="minorHAnsi" w:hAnsiTheme="minorHAnsi" w:cstheme="minorHAnsi"/>
              </w:rPr>
              <w:t>. Wewnętrzny akumulator, wymienialny przez użytkownika, pozwalający na minimum 450 minut pracy z pomiarami SpO2 i NIBP. Graficzna prezentacja stanu naładowania akumulatora stale widoczna na ekranie wraz z wartością numeryczną wskazująca szacunkowy czas pracy przy zaniku zasilania sieciowego.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1E0" w:rsidRPr="00384B39" w:rsidRDefault="002C31E0" w:rsidP="002C31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Cicha praca urządzenia – chłodzenie konwekcyjne bez stosowania wentylatorów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spacing w:after="4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Stopień ochrony przed zalaniem wodą co najmniej IPX2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spacing w:after="4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Wyposażenie w złącza wejścia/wyjścia:</w:t>
            </w:r>
          </w:p>
          <w:p w:rsidR="002C31E0" w:rsidRPr="00384B39" w:rsidRDefault="002C31E0" w:rsidP="002C31E0">
            <w:pPr>
              <w:pStyle w:val="Akapitzlist"/>
              <w:numPr>
                <w:ilvl w:val="0"/>
                <w:numId w:val="18"/>
              </w:numPr>
              <w:spacing w:after="40"/>
              <w:rPr>
                <w:rFonts w:cstheme="minorHAnsi"/>
              </w:rPr>
            </w:pPr>
            <w:r w:rsidRPr="00384B39">
              <w:rPr>
                <w:rFonts w:cstheme="minorHAnsi"/>
              </w:rPr>
              <w:t>co najmniej 2 gniazda USB do podłączenia opcjonalnego skanera kodów paskowych (wczytywanie danych pacjenta) oraz opcjonalnej wagi cyfrowej (uzyskanie danych dotyczących wzrostu, wagi i BMI pacjenta)</w:t>
            </w:r>
          </w:p>
          <w:p w:rsidR="002C31E0" w:rsidRPr="00384B39" w:rsidRDefault="002C31E0" w:rsidP="002C31E0">
            <w:pPr>
              <w:pStyle w:val="Akapitzlist"/>
              <w:numPr>
                <w:ilvl w:val="0"/>
                <w:numId w:val="18"/>
              </w:numPr>
              <w:spacing w:after="40"/>
              <w:rPr>
                <w:rFonts w:cstheme="minorHAnsi"/>
              </w:rPr>
            </w:pPr>
            <w:r w:rsidRPr="00384B39">
              <w:rPr>
                <w:rFonts w:cstheme="minorHAnsi"/>
              </w:rPr>
              <w:t>gniazdo RJ-45 do połączenia z siecią monitorowania.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31E0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2C31E0" w:rsidP="002C31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spacing w:after="4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Możliwość rozbudowy o złącze do podłączenia dodatkowego zewnętrznego akumulatora.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E0" w:rsidRPr="00384B39" w:rsidRDefault="00384B39" w:rsidP="002C31E0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0" w:rsidRPr="00384B39" w:rsidRDefault="002C31E0" w:rsidP="002C31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514F4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System alarmowy</w:t>
            </w:r>
          </w:p>
        </w:tc>
      </w:tr>
      <w:tr w:rsidR="000B20BF" w:rsidRPr="00384B39" w:rsidTr="004B23DA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</w:rPr>
              <w:t xml:space="preserve">System alarmowy dostępny w trybie pracy monitorowania ciągłego generujący dwa rodzaje sygnalizacji alarmowej: alarmy fizjologiczne oraz techniczne. Alarmy klasyfikowane według trzech priorytetów w zależności od stopnia zagrożenia alarmu. Ustawianie granic alarmowych przez użytkownika z możliwością przywrócenia ustawień domyślnych jednym przyciskiem. Ustawianie głośności alarmowania (co najmniej 9 poziomów do wyboru).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4B23DA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  <w:color w:val="000000"/>
              </w:rPr>
              <w:t>Funkcja zawieszenia sygnalizacji alarmowej na czas wybrany przez użytkownika. Do wyboru wstrzymanie alarmów na co najmniej 1, 2, 3 minuty oraz możliwość zawieszenia alarmów na stałe (zabezpieczone hasłem).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4B23DA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pStyle w:val="Style10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  <w:sz w:val="22"/>
                <w:szCs w:val="22"/>
              </w:rPr>
              <w:t xml:space="preserve">W celu ułatwienia identyfikacji alarmującego monitora możliwość ustawienia oddzielnego wzorca dźwiękowego sygnalizacji alarmowej. </w:t>
            </w:r>
          </w:p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</w:rPr>
              <w:t>Co najmniej 3 wzorce do wyboru.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4B23DA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Wybrane alarmy techniczne z funkcją wyświetlania informacji w postaci ilustracji graficznych celem łatwiejszego zidentyfikowania problemu.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530D31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Mierzone parametry</w:t>
            </w: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4B39">
              <w:rPr>
                <w:rFonts w:asciiTheme="minorHAnsi" w:hAnsiTheme="minorHAnsi" w:cstheme="minorHAnsi"/>
              </w:rPr>
              <w:t>Saturacja (</w:t>
            </w:r>
            <w:r w:rsidRPr="00384B39">
              <w:rPr>
                <w:rFonts w:asciiTheme="minorHAnsi" w:hAnsiTheme="minorHAnsi" w:cstheme="minorHAnsi"/>
                <w:b/>
              </w:rPr>
              <w:t>SpO</w:t>
            </w:r>
            <w:r w:rsidRPr="00384B39">
              <w:rPr>
                <w:rFonts w:asciiTheme="minorHAnsi" w:hAnsiTheme="minorHAnsi" w:cstheme="minorHAnsi"/>
                <w:b/>
                <w:vertAlign w:val="subscript"/>
              </w:rPr>
              <w:t>2</w:t>
            </w:r>
            <w:r w:rsidRPr="00384B39">
              <w:rPr>
                <w:rFonts w:asciiTheme="minorHAnsi" w:hAnsiTheme="minorHAnsi" w:cstheme="minorHAnsi"/>
              </w:rPr>
              <w:t xml:space="preserve">). Zakres pomiarowy %SpO2 0-100%. Zakres pomiarowy częstości pulsu co najmniej 20-300 P/min. Jednoczesne wyświetlanie krzywej </w:t>
            </w:r>
            <w:proofErr w:type="spellStart"/>
            <w:r w:rsidRPr="00384B39">
              <w:rPr>
                <w:rFonts w:asciiTheme="minorHAnsi" w:hAnsiTheme="minorHAnsi" w:cstheme="minorHAnsi"/>
              </w:rPr>
              <w:t>pletyzmograficznej</w:t>
            </w:r>
            <w:proofErr w:type="spellEnd"/>
            <w:r w:rsidRPr="00384B39">
              <w:rPr>
                <w:rFonts w:asciiTheme="minorHAnsi" w:hAnsiTheme="minorHAnsi" w:cstheme="minorHAnsi"/>
              </w:rPr>
              <w:t xml:space="preserve"> oraz wartości % saturacji, częstości pulsu i wskaźnika perfuzji. Alarm </w:t>
            </w:r>
            <w:proofErr w:type="spellStart"/>
            <w:r w:rsidRPr="00384B39">
              <w:rPr>
                <w:rFonts w:asciiTheme="minorHAnsi" w:hAnsiTheme="minorHAnsi" w:cstheme="minorHAnsi"/>
              </w:rPr>
              <w:t>desaturacji</w:t>
            </w:r>
            <w:proofErr w:type="spellEnd"/>
            <w:r w:rsidRPr="00384B39">
              <w:rPr>
                <w:rFonts w:asciiTheme="minorHAnsi" w:hAnsiTheme="minorHAnsi" w:cstheme="minorHAnsi"/>
              </w:rPr>
              <w:t>. W komplecie z monitorem  przewód interfejsowy oraz czujnik SpO2 na palec.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Możliwość rozbudowy o pomiar częstości oddechów  przy użyciu </w:t>
            </w:r>
            <w:proofErr w:type="spellStart"/>
            <w:r w:rsidRPr="00384B39">
              <w:rPr>
                <w:rFonts w:asciiTheme="minorHAnsi" w:hAnsiTheme="minorHAnsi" w:cstheme="minorHAnsi"/>
              </w:rPr>
              <w:t>napalcowego</w:t>
            </w:r>
            <w:proofErr w:type="spellEnd"/>
            <w:r w:rsidRPr="00384B39">
              <w:rPr>
                <w:rFonts w:asciiTheme="minorHAnsi" w:hAnsiTheme="minorHAnsi" w:cstheme="minorHAnsi"/>
              </w:rPr>
              <w:t xml:space="preserve"> czujnika saturacji w zakresie min. od 4 do 70 </w:t>
            </w:r>
            <w:proofErr w:type="spellStart"/>
            <w:r w:rsidRPr="00384B39">
              <w:rPr>
                <w:rFonts w:asciiTheme="minorHAnsi" w:hAnsiTheme="minorHAnsi" w:cstheme="minorHAnsi"/>
              </w:rPr>
              <w:t>odd</w:t>
            </w:r>
            <w:proofErr w:type="spellEnd"/>
            <w:r w:rsidRPr="00384B39">
              <w:rPr>
                <w:rFonts w:asciiTheme="minorHAnsi" w:hAnsiTheme="minorHAnsi" w:cstheme="minorHAnsi"/>
              </w:rPr>
              <w:t>./min.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Nieinwazyjny pomiar ciśnienia </w:t>
            </w:r>
            <w:r w:rsidRPr="00384B39">
              <w:rPr>
                <w:rFonts w:asciiTheme="minorHAnsi" w:hAnsiTheme="minorHAnsi" w:cstheme="minorHAnsi"/>
                <w:b/>
                <w:bCs/>
              </w:rPr>
              <w:t>(NIPC)</w:t>
            </w:r>
            <w:r w:rsidRPr="00384B39">
              <w:rPr>
                <w:rFonts w:asciiTheme="minorHAnsi" w:hAnsiTheme="minorHAnsi" w:cstheme="minorHAnsi"/>
              </w:rPr>
              <w:t xml:space="preserve"> metoda oscylometryczną. Zaawansowana metoda pomiaru z uwzględnieniem wybranej pozycji pacjenta (na leżąco, na siedząco lub na stojąco) oraz miejsca pomiaru (prawe ramię, lewe ramię, prawa noga, lewa noga). Możliwość ustawienia algorytmu pomiaru NIBP podczas napełniania mankietu w celu skrócenia  czasu pomiaru do 15 sekund. Zakres pomiarowy ciśnienia skurczowego co najmniej od 30 do 290 mmHg. Pomiar ręczny, automatyczny i ciągły. Pomiar automatyczny z regulowanym interwałem co najmniej 1–480 minut. Pomiar sekwencyjny składający się z co najmniej 4 faz, z indywidualnym ustawianiem czasu trwania oraz interwału dla każdej fazy. Prezentacja wartości: skurczowej, rozkurczowej oraz średniej. Funkcja </w:t>
            </w:r>
            <w:proofErr w:type="spellStart"/>
            <w:r w:rsidRPr="00384B39">
              <w:rPr>
                <w:rFonts w:asciiTheme="minorHAnsi" w:hAnsiTheme="minorHAnsi" w:cstheme="minorHAnsi"/>
              </w:rPr>
              <w:t>stazy</w:t>
            </w:r>
            <w:proofErr w:type="spellEnd"/>
            <w:r w:rsidRPr="00384B39">
              <w:rPr>
                <w:rFonts w:asciiTheme="minorHAnsi" w:hAnsiTheme="minorHAnsi" w:cstheme="minorHAnsi"/>
              </w:rPr>
              <w:t>. Funkcja wstępnego ustawiania ciśnienia pompowania mankietu. Możliwość pomiaru ciśnienia metodą nieinwazyjną na tej samej kończynie co pomiar SpO2 bez wywoływania alarmu SpO2. Pomiar częstości pulsu wraz z nieinwazyjnym ciśnieniem co najmniej w zakresie od 30 do 300 P/min. Wyświetlanie statystyki SpO2 w formie wykresów słupkowych. W komplecie z monitorem przewód oraz mankiet w rozmiarze średnim.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Możliwość rozbudowy o pomiar ortostatycznego ciśnienia wspomagającego ocenę ryzyka upadku.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Szybki pomiar temperatury skóry nad tętnica skroniową. Pomiar dla ludzi w każdym przedziale wiekowym, nie wymagający kontaktu z ciałem pacjenta oraz niewymagający używania akcesoriów jednorazowych. Wyświetlanie wyników pomiaru na ekranie monitora pacjenta. Zakres pomiaru co najmniej 16-42°C, dokładność nie gorsza niż ±0,3°C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Możliwość rozbudowy o ciągły pomiar CO2 z możliwością stosowania u dorosłych, dzieci i noworodków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Monitor wyposażony w funkcję ręcznego wprowadzania danych fizjologicznych do celów oceny klinicznej. Fabrycznie skonfigurowana możliwość wprowadzenia co najmniej informacji o poziomie cukru we krwi, wagi oraz wzrostu. Możliwość ręcznego dodania przez użytkownika nowego parametru.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 xml:space="preserve">Monitor wyposażony w funkcję wprowadzania danych i obliczania punktacji wczesnego ostrzegania EWS. Funkcja automatycznego obliczania punktacji EWS w określonych odstępach czasowych w przypadku ciągłego monitorowania pacjenta.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Monitor wyposażony w funkcję oceny stanu świadomości wg. skali Glasgow (GCS) – wprowadzanie danych, wyświetlanie punktacji łącznej i podrzędnej.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384B39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Monitor wyposażony w ekran skali oceny poziomu bólu pacjenta. Informacja o oznaczonym przez użytkownika poziomie bólu wyświetlana na ekranie w formie liczbowej oraz w formie grafiki.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Zapis w pamięci trendów mierzonych parametrów, w postaci tabel i wykresów.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Zapis w pamięci zdarzeń alarmowych (krzywe i odpowiadające im wartości parametrów).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Możliwość wyposażenia monitora w wbudowany rejestrator termiczny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Funkcja „</w:t>
            </w:r>
            <w:proofErr w:type="spellStart"/>
            <w:r w:rsidRPr="00384B39">
              <w:rPr>
                <w:rFonts w:asciiTheme="minorHAnsi" w:hAnsiTheme="minorHAnsi" w:cstheme="minorHAnsi"/>
              </w:rPr>
              <w:t>standby</w:t>
            </w:r>
            <w:proofErr w:type="spellEnd"/>
            <w:r w:rsidRPr="00384B39">
              <w:rPr>
                <w:rFonts w:asciiTheme="minorHAnsi" w:hAnsiTheme="minorHAnsi" w:cstheme="minorHAnsi"/>
              </w:rPr>
              <w:t>”, pozwalająca na wstrzymanie monitorowania pacjenta, związane np. z czasowym odłączeniem go od monitora, bez konieczności wyłączania monitora, oraz na szybkie, ponowne uruchomienie monitorowania.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Możliwość współpracy ze stacją centralnego nadzoru przystosowanej również do obsługi monitorów modułowych oraz nadajników telemetrycznych,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Monitor przystosowany do przyszłej integracji z systemem HIS. Bezpośrednie wysyłanie danych, krzywych i alarmów w czasie rzeczywistym z monitora za pośrednictwem protokołu HL7.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  <w:color w:val="000000"/>
              </w:rPr>
              <w:t xml:space="preserve">Statyw na kółkach z półką do mocowania monitora i koszykiem </w:t>
            </w:r>
            <w:r w:rsidRPr="00384B39">
              <w:rPr>
                <w:rFonts w:asciiTheme="minorHAnsi" w:hAnsiTheme="minorHAnsi" w:cstheme="minorHAnsi"/>
              </w:rPr>
              <w:t>z przegródkami na  akcesoria. Możliwość zablokowania każdego koła.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84B39">
              <w:rPr>
                <w:rFonts w:asciiTheme="minorHAnsi" w:hAnsiTheme="minorHAnsi" w:cstheme="minorHAnsi"/>
              </w:rPr>
              <w:t>Instrukcja obsługi w języku polskim (dostarczyć wraz z aparatem)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Certyfikat CE  (dokumenty załączyć)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Autoryzacja producenta na serwis i sprzedaż zaoferowanego urządzenia na terenie Polski (dokumenty załączyć)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2C31E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Nieodpłatne dostępy do kodów serwisowych po zakończeniu gwarancji.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384B39" w:rsidTr="008F5310">
        <w:trPr>
          <w:cantSplit/>
          <w:trHeight w:val="5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20BF" w:rsidRPr="00384B39" w:rsidRDefault="000B20BF" w:rsidP="000B20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Gwarancja minimum 24 miesiące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384B39">
              <w:rPr>
                <w:rFonts w:asciiTheme="minorHAnsi" w:hAnsiTheme="minorHAnsi" w:cstheme="minorHAnsi"/>
              </w:rPr>
              <w:t>TAK, podać</w:t>
            </w:r>
          </w:p>
          <w:p w:rsidR="00384B39" w:rsidRPr="00384B39" w:rsidRDefault="00384B39" w:rsidP="00384B39">
            <w:pPr>
              <w:rPr>
                <w:rFonts w:asciiTheme="minorHAnsi" w:eastAsia="Calibri" w:hAnsiTheme="minorHAnsi" w:cstheme="minorHAnsi"/>
              </w:rPr>
            </w:pPr>
            <w:r w:rsidRPr="00384B39">
              <w:rPr>
                <w:rFonts w:asciiTheme="minorHAnsi" w:eastAsia="Calibri" w:hAnsiTheme="minorHAnsi" w:cstheme="minorHAnsi"/>
              </w:rPr>
              <w:t>Parametr oceniany:</w:t>
            </w:r>
          </w:p>
          <w:p w:rsidR="00384B39" w:rsidRPr="00384B39" w:rsidRDefault="00384B39" w:rsidP="00384B39">
            <w:pPr>
              <w:rPr>
                <w:rFonts w:asciiTheme="minorHAnsi" w:eastAsia="Calibri" w:hAnsiTheme="minorHAnsi" w:cstheme="minorHAnsi"/>
              </w:rPr>
            </w:pPr>
            <w:r w:rsidRPr="00384B39">
              <w:rPr>
                <w:rFonts w:asciiTheme="minorHAnsi" w:eastAsia="Calibri" w:hAnsiTheme="minorHAnsi" w:cstheme="minorHAnsi"/>
              </w:rPr>
              <w:t>24 miesiące- 0pkt</w:t>
            </w:r>
          </w:p>
          <w:p w:rsidR="00384B39" w:rsidRPr="00384B39" w:rsidRDefault="00384B39" w:rsidP="00384B39">
            <w:pPr>
              <w:rPr>
                <w:rFonts w:asciiTheme="minorHAnsi" w:eastAsia="Calibri" w:hAnsiTheme="minorHAnsi" w:cstheme="minorHAnsi"/>
              </w:rPr>
            </w:pPr>
            <w:r w:rsidRPr="00384B39">
              <w:rPr>
                <w:rFonts w:asciiTheme="minorHAnsi" w:eastAsia="Calibri" w:hAnsiTheme="minorHAnsi" w:cstheme="minorHAnsi"/>
              </w:rPr>
              <w:t>36 miesięcy- 20 pkt</w:t>
            </w:r>
          </w:p>
          <w:p w:rsidR="00384B39" w:rsidRPr="00384B39" w:rsidRDefault="00384B39" w:rsidP="00384B39">
            <w:pPr>
              <w:rPr>
                <w:rFonts w:asciiTheme="minorHAnsi" w:eastAsia="Calibri" w:hAnsiTheme="minorHAnsi" w:cstheme="minorHAnsi"/>
              </w:rPr>
            </w:pPr>
            <w:r w:rsidRPr="00384B39">
              <w:rPr>
                <w:rFonts w:asciiTheme="minorHAnsi" w:eastAsia="Calibri" w:hAnsiTheme="minorHAnsi" w:cstheme="minorHAnsi"/>
              </w:rPr>
              <w:t>48 miesięcy – 40 pkt</w:t>
            </w:r>
          </w:p>
          <w:p w:rsidR="00384B39" w:rsidRPr="00384B39" w:rsidRDefault="00384B39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384B39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90370" w:rsidRDefault="00690370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sectPr w:rsidR="006903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77" w:rsidRDefault="00F84E77" w:rsidP="000D4E7D">
      <w:r>
        <w:separator/>
      </w:r>
    </w:p>
  </w:endnote>
  <w:endnote w:type="continuationSeparator" w:id="0">
    <w:p w:rsidR="00F84E77" w:rsidRDefault="00F84E77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77" w:rsidRDefault="00F84E77" w:rsidP="000D4E7D">
      <w:r>
        <w:separator/>
      </w:r>
    </w:p>
  </w:footnote>
  <w:footnote w:type="continuationSeparator" w:id="0">
    <w:p w:rsidR="00F84E77" w:rsidRDefault="00F84E77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1E0" w:rsidRDefault="002C31E0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93940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3555E5"/>
    <w:rsid w:val="00384B39"/>
    <w:rsid w:val="00390613"/>
    <w:rsid w:val="003B0A85"/>
    <w:rsid w:val="00406186"/>
    <w:rsid w:val="004359E4"/>
    <w:rsid w:val="004646AB"/>
    <w:rsid w:val="00464C16"/>
    <w:rsid w:val="00510005"/>
    <w:rsid w:val="00597DCC"/>
    <w:rsid w:val="005A2DA4"/>
    <w:rsid w:val="005C1EF3"/>
    <w:rsid w:val="00615B2E"/>
    <w:rsid w:val="00690370"/>
    <w:rsid w:val="00767D44"/>
    <w:rsid w:val="0078407C"/>
    <w:rsid w:val="00823C89"/>
    <w:rsid w:val="00826616"/>
    <w:rsid w:val="008C1C1B"/>
    <w:rsid w:val="008E4815"/>
    <w:rsid w:val="008E6A69"/>
    <w:rsid w:val="008F1D77"/>
    <w:rsid w:val="009037F7"/>
    <w:rsid w:val="009141FB"/>
    <w:rsid w:val="00925A70"/>
    <w:rsid w:val="009331C3"/>
    <w:rsid w:val="00997DB4"/>
    <w:rsid w:val="00A46D6D"/>
    <w:rsid w:val="00A71323"/>
    <w:rsid w:val="00AA635E"/>
    <w:rsid w:val="00BF6D53"/>
    <w:rsid w:val="00C23837"/>
    <w:rsid w:val="00C54BB1"/>
    <w:rsid w:val="00CF4842"/>
    <w:rsid w:val="00D129F8"/>
    <w:rsid w:val="00D2335A"/>
    <w:rsid w:val="00D900E7"/>
    <w:rsid w:val="00D90406"/>
    <w:rsid w:val="00DE3A4D"/>
    <w:rsid w:val="00DF1631"/>
    <w:rsid w:val="00E81615"/>
    <w:rsid w:val="00EE1528"/>
    <w:rsid w:val="00F84E77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88B7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1F94-E2DF-4E1E-A578-DB5664F9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1292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3</cp:revision>
  <dcterms:created xsi:type="dcterms:W3CDTF">2026-03-13T13:04:00Z</dcterms:created>
  <dcterms:modified xsi:type="dcterms:W3CDTF">2026-03-16T12:03:00Z</dcterms:modified>
</cp:coreProperties>
</file>