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OFERTA – Część nr 1</w:t>
      </w:r>
      <w:r w:rsidR="006A40C2">
        <w:rPr>
          <w:rFonts w:ascii="Calibri" w:eastAsia="Calibri" w:hAnsi="Calibri" w:cs="Calibri"/>
          <w:b/>
          <w:bCs/>
          <w:sz w:val="22"/>
          <w:szCs w:val="22"/>
          <w:lang w:eastAsia="ar-SA"/>
        </w:rPr>
        <w:t>4</w:t>
      </w:r>
    </w:p>
    <w:p w:rsidR="00925A70" w:rsidRPr="00925A70" w:rsidRDefault="00925A70" w:rsidP="000D4E7D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(wraz z opisem przedmiotu zamówienia)</w:t>
      </w:r>
    </w:p>
    <w:p w:rsidR="00397E9D" w:rsidRPr="005519CC" w:rsidRDefault="00397E9D" w:rsidP="00397E9D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0B4037" w:rsidRPr="006E5642" w:rsidRDefault="000B4037" w:rsidP="006E5642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0B4037" w:rsidTr="00464C16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B4037" w:rsidRDefault="000B4037" w:rsidP="00464C16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0B4037" w:rsidRDefault="000B4037" w:rsidP="00464C16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0B4037" w:rsidRDefault="000B4037" w:rsidP="00464C16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0B4037" w:rsidTr="00464C16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B4037" w:rsidRPr="009141FB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B4037" w:rsidRPr="009141FB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9141FB" w:rsidRDefault="009037F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Kardiomonitor z centralą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0B4037" w:rsidRPr="009141FB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9141FB" w:rsidRDefault="000B4037" w:rsidP="00464C16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9141FB" w:rsidRDefault="00AA635E" w:rsidP="00464C1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Pr="00925A70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37" w:rsidRPr="00925A70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B4037" w:rsidTr="00464C16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4037" w:rsidRDefault="000B4037" w:rsidP="00464C16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37" w:rsidRPr="00925A70" w:rsidRDefault="000B4037" w:rsidP="00464C16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037" w:rsidRDefault="000B4037" w:rsidP="00464C16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0B4037" w:rsidRDefault="000B4037" w:rsidP="000B4037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0B4037" w:rsidRDefault="000B4037" w:rsidP="000B4037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0B4037" w:rsidRDefault="000B4037" w:rsidP="000B4037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0B4037" w:rsidRDefault="000B4037" w:rsidP="000B4037">
      <w:pPr>
        <w:ind w:left="-709"/>
        <w:rPr>
          <w:rFonts w:ascii="Calibri" w:hAnsi="Calibri" w:cs="Calibri"/>
          <w:sz w:val="22"/>
          <w:szCs w:val="22"/>
        </w:rPr>
      </w:pPr>
    </w:p>
    <w:p w:rsidR="00397E9D" w:rsidRDefault="00397E9D" w:rsidP="00397E9D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0B4037" w:rsidRPr="00925A70" w:rsidRDefault="000B4037" w:rsidP="000B4037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0B4037" w:rsidRDefault="000B4037" w:rsidP="000B4037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0B4037" w:rsidRDefault="000B4037" w:rsidP="000B4037">
      <w:pPr>
        <w:ind w:left="-709"/>
        <w:rPr>
          <w:rFonts w:ascii="Calibri" w:hAnsi="Calibri" w:cs="Calibri"/>
          <w:sz w:val="22"/>
          <w:szCs w:val="22"/>
        </w:rPr>
      </w:pPr>
    </w:p>
    <w:p w:rsidR="000B4037" w:rsidRDefault="000B4037" w:rsidP="000B4037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  <w:r w:rsidR="00597DCC">
        <w:rPr>
          <w:rFonts w:ascii="Calibri" w:hAnsi="Calibri" w:cs="Calibri"/>
          <w:sz w:val="22"/>
          <w:szCs w:val="22"/>
        </w:rPr>
        <w:br/>
      </w:r>
    </w:p>
    <w:p w:rsidR="000B4037" w:rsidRDefault="000B4037" w:rsidP="000B4037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t>PARAMETRY TECHNICZNE WYMAGANE  I OFEROWANE</w:t>
      </w:r>
    </w:p>
    <w:p w:rsidR="000B4037" w:rsidRDefault="000B4037" w:rsidP="000B4037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0B4037" w:rsidRDefault="000B4037" w:rsidP="000B4037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6A40C2">
        <w:rPr>
          <w:rFonts w:ascii="Calibri Light" w:eastAsia="Calibri" w:hAnsi="Calibri Light" w:cs="Calibri Light"/>
          <w:b/>
        </w:rPr>
        <w:t>14</w:t>
      </w:r>
    </w:p>
    <w:p w:rsidR="000B4037" w:rsidRPr="00397E9D" w:rsidRDefault="000B4037" w:rsidP="00397E9D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  <w:bookmarkStart w:id="0" w:name="_GoBack"/>
      <w:bookmarkEnd w:id="0"/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84"/>
        <w:gridCol w:w="4704"/>
        <w:gridCol w:w="2354"/>
        <w:gridCol w:w="2508"/>
      </w:tblGrid>
      <w:tr w:rsidR="000B4037" w:rsidTr="0030183E">
        <w:trPr>
          <w:cantSplit/>
          <w:trHeight w:val="15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4037" w:rsidRDefault="000B4037" w:rsidP="00464C16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4037" w:rsidRDefault="000B4037" w:rsidP="00464C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4037" w:rsidRDefault="000B4037" w:rsidP="00464C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4037" w:rsidRDefault="000B4037" w:rsidP="00464C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67" w:hanging="529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P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Kolorowy pojedynczy ekran w postaci płaskiego panelu LCD TFT o przekątnej minimum 15,5", rozdzielczości co najmniej 1300x700 pikseli. W obudowie monitora miejsce na akcesoria pomiarowe.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0E7" w:rsidRDefault="00D900E7" w:rsidP="00D900E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TAK, podać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Opisy i komunikaty ekranowe w języku polskim. Obsługa poprzez ekran dotykowy z funkcją obsługi gestów, przyciski funkcyjne oraz pokrętło. Fabrycznie skonfigurowane co najmniej trzy układy ekranu: normalny (krzywe dynamiczne i wartości parametrów), </w:t>
            </w:r>
            <w:proofErr w:type="spellStart"/>
            <w:r>
              <w:rPr>
                <w:rFonts w:ascii="Calibri" w:hAnsi="Calibri" w:cs="Calibri"/>
              </w:rPr>
              <w:t>minitrendów</w:t>
            </w:r>
            <w:proofErr w:type="spellEnd"/>
            <w:r>
              <w:rPr>
                <w:rFonts w:ascii="Calibri" w:hAnsi="Calibri" w:cs="Calibri"/>
              </w:rPr>
              <w:t xml:space="preserve"> (krótkie trendy, krzywe dynamiczne i wartości parametrów), duże odczyty.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Szybkie przełączanie między ekranami, bez wchodzenia do menu, za pomocą gestów np. przesunięcie w lewo lub </w:t>
            </w:r>
            <w:r w:rsidRPr="00A71323">
              <w:rPr>
                <w:rFonts w:ascii="Calibri" w:hAnsi="Calibri" w:cs="Calibri"/>
                <w:color w:val="000000" w:themeColor="text1"/>
              </w:rPr>
              <w:t>w prawo dwoma palcami po ekranie</w:t>
            </w:r>
            <w:r>
              <w:rPr>
                <w:rFonts w:ascii="Calibri" w:hAnsi="Calibri" w:cs="Calibri"/>
              </w:rPr>
              <w:t>. Monitor wyposażony w funkcje demo oraz tryb szkoleniowy zawierający podstawowe instrukcje dotyczące korzystania z monitora.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6A40C2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12 krzywych dynamicznych wyświetlanych jednocześnie na ekranie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Zasilanie sieciowe dostosowane do 230V / 50 </w:t>
            </w:r>
            <w:proofErr w:type="spellStart"/>
            <w:r>
              <w:rPr>
                <w:rFonts w:ascii="Calibri" w:hAnsi="Calibri" w:cs="Calibri"/>
              </w:rPr>
              <w:t>Hz</w:t>
            </w:r>
            <w:proofErr w:type="spellEnd"/>
            <w:r>
              <w:rPr>
                <w:rFonts w:ascii="Calibri" w:hAnsi="Calibri" w:cs="Calibri"/>
              </w:rPr>
              <w:t>. Wewnętrzny akumulator, pozwalający na minimum 200 minut pracy w konfiguracji EKG, NIBP, SpO2.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Wbudowana bezprzewodowa karta WI-FI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Cicha praca urządzenia – chłodzenie konwekcyjne bez stosowania wentylatorów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E7" w:rsidRDefault="00D900E7" w:rsidP="00D900E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 ochrony przed zalaniem wodą co najmniej IPX1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00E7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Pr="00EA7596" w:rsidRDefault="00D900E7" w:rsidP="00D900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0E7" w:rsidRDefault="00D900E7" w:rsidP="00D900E7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Wyposażenie w złącza wejścia/wyjścia:</w:t>
            </w:r>
          </w:p>
          <w:p w:rsidR="00D900E7" w:rsidRDefault="00D900E7" w:rsidP="00D900E7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a)co najmniej 2 gniazda USB do podłączenia klawiatury, myszki komputerowej, skanera kodów paskowych, gniazdo do podłączenia ekranu kopiującego,</w:t>
            </w:r>
          </w:p>
          <w:p w:rsidR="00D900E7" w:rsidRDefault="00D900E7" w:rsidP="00D900E7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b)gniazdo RJ-45 do połączenia z siecią monitorowania.</w:t>
            </w:r>
          </w:p>
          <w:p w:rsidR="00D900E7" w:rsidRDefault="00D900E7" w:rsidP="00D900E7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c)kardiomonitor wyposażony w pokrywę zabezpieczającą złącza w przypadku ich nieużywania</w:t>
            </w:r>
          </w:p>
          <w:p w:rsidR="00D900E7" w:rsidRDefault="00D900E7" w:rsidP="00D900E7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E7" w:rsidRDefault="00D900E7" w:rsidP="00D900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E7" w:rsidRPr="00EA7596" w:rsidRDefault="00D900E7" w:rsidP="00D900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alarmowy</w:t>
            </w: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System alarmowy generujący dwa rodzaje sygnalizacji alarmowej: alarmy fizjologiczne oraz techniczne. Alarmy klasyfikowane według czterech priorytetów w zależności od stopnia zagrożenia alarmu. Ustawianie granic alarmowych przez użytkownika oraz funkcja automatycznego ustawiania granic alarmowych na podstawie bieżących wartości parametrów. Ustawianie głośności alarmowania (co najmniej 9 poziomów do wyboru).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Funkcja zawieszenia sygnalizacji alarmowej na czas wybrany przez użytkownika (do wyboru co najmniej wstrzymanie alarmów na 1, 2, 5, 10 i 15 minut) oraz możliwość zawieszenia alarmów na stałe (zabezpieczone hasłem).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celu ułatwienia identyfikacji alarmującego monitora możliwość ustawienia oddzielnego wzorca dźwiękowego sygnalizacji alarmowej. </w:t>
            </w:r>
          </w:p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 najmniej 3 wzorce do wyboru.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Mierzone parametry</w:t>
            </w: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EKG - pomiar częstości akcji serca. Zakres minimum 10 - 300/min. Ustawianie prędkości przesuwu krzywej EKG do wyboru co najmniej: 6.25; 12.5; 25; 50 mm/s. Ustawianie wzmocnienia krzywej EKG do wyboru co najmniej: x0.125; x0.25; 0.5; x1; x2; x4; auto. W komplecie z monitorem przewód EKG z kompletem 5 końcówek.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Analiza arytmii – wykrywanie co najmniej 27 kategorii zaburzeń rytmu w tym VF, ASYS, BRADY, TACHY, AF (we wszystkich monitorach).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Monitor wyposażony w funkcję analizującą jednocześnie sygnał EKG oraz sygnał krzywej </w:t>
            </w:r>
            <w:proofErr w:type="spellStart"/>
            <w:r>
              <w:rPr>
                <w:rFonts w:ascii="Calibri" w:hAnsi="Calibri" w:cs="Calibri"/>
              </w:rPr>
              <w:t>pletyzmograficznej</w:t>
            </w:r>
            <w:proofErr w:type="spellEnd"/>
            <w:r>
              <w:rPr>
                <w:rFonts w:ascii="Calibri" w:hAnsi="Calibri" w:cs="Calibri"/>
              </w:rPr>
              <w:t xml:space="preserve"> w celu uzyskania dokładniejszych wyników analizy arytmii i pomiarów częstości tętna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Funkcja analizy zmian częstości akcji serca z ostatnich 24 godzin informacje o wartościach HR, ST, QT i arytmii: statystyka dot. częstości akcji serca, statystyka zdarzeń arytmii, statystyka pomiarów QT/</w:t>
            </w:r>
            <w:proofErr w:type="spellStart"/>
            <w:r>
              <w:rPr>
                <w:rFonts w:ascii="Calibri" w:hAnsi="Calibri" w:cs="Calibri"/>
              </w:rPr>
              <w:t>QTc</w:t>
            </w:r>
            <w:proofErr w:type="spellEnd"/>
            <w:r>
              <w:rPr>
                <w:rFonts w:ascii="Calibri" w:hAnsi="Calibri" w:cs="Calibri"/>
              </w:rPr>
              <w:t xml:space="preserve">, statystyka maksymalnych i minimalnych wartości odcinka ST dla poszczególnych </w:t>
            </w:r>
            <w:proofErr w:type="spellStart"/>
            <w:r>
              <w:rPr>
                <w:rFonts w:ascii="Calibri" w:hAnsi="Calibri" w:cs="Calibri"/>
              </w:rPr>
              <w:t>odprowadzeń</w:t>
            </w:r>
            <w:proofErr w:type="spellEnd"/>
            <w:r>
              <w:rPr>
                <w:rFonts w:ascii="Calibri" w:hAnsi="Calibri" w:cs="Calibri"/>
              </w:rPr>
              <w:t>, statystyka dot. danych stymulatora.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Analiza odcinka ST – jednoczesny pomiar odchylenia odcinka ST w siedmiu </w:t>
            </w:r>
            <w:proofErr w:type="spellStart"/>
            <w:r>
              <w:rPr>
                <w:rFonts w:ascii="Calibri" w:hAnsi="Calibri" w:cs="Calibri"/>
              </w:rPr>
              <w:t>odprowadzeniach</w:t>
            </w:r>
            <w:proofErr w:type="spellEnd"/>
            <w:r>
              <w:rPr>
                <w:rFonts w:ascii="Calibri" w:hAnsi="Calibri" w:cs="Calibri"/>
              </w:rPr>
              <w:t xml:space="preserve"> w zakresie co najmniej od -2,5 do +2,5 </w:t>
            </w:r>
            <w:proofErr w:type="spellStart"/>
            <w:r>
              <w:rPr>
                <w:rFonts w:ascii="Calibri" w:hAnsi="Calibri" w:cs="Calibri"/>
              </w:rPr>
              <w:t>mV</w:t>
            </w:r>
            <w:proofErr w:type="spellEnd"/>
            <w:r>
              <w:rPr>
                <w:rFonts w:ascii="Calibri" w:hAnsi="Calibri" w:cs="Calibri"/>
              </w:rPr>
              <w:t>. Prezentacja zmian odchylenia ST w postaci wzorcowych odcinków ST z nanoszonymi na nie bieżącymi odcinkami.  Tryb alarmowania ST w oparciu wartości bezwzględne oraz względne w stosunku do linii odniesienia. Możliwość ustawienia granic alarmowych dla pojedynczego ST oraz dla dwóch ST.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Analiza zmian odcinka QT oraz obliczanie wartości </w:t>
            </w:r>
            <w:proofErr w:type="spellStart"/>
            <w:r>
              <w:rPr>
                <w:rFonts w:ascii="Calibri" w:hAnsi="Calibri" w:cs="Calibri"/>
              </w:rPr>
              <w:t>QTc</w:t>
            </w:r>
            <w:proofErr w:type="spellEnd"/>
            <w:r>
              <w:rPr>
                <w:rFonts w:ascii="Calibri" w:hAnsi="Calibri" w:cs="Calibri"/>
              </w:rPr>
              <w:t xml:space="preserve"> wg. co najmniej 4 wzorów.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 – pomiar częstości oddechu metodą impedancyjną. Zakres pomiarowy częstości oddechu co najmniej od 0 do 200 R/min. Możliwość wyboru odprowadzeni do monitorowania respiracji. Wybór prędkości przesuwu krzywych co najmniej: 3; 6.25; 12,5; 25; 50 mm/s.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Saturacja (SpO</w:t>
            </w:r>
            <w:r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 xml:space="preserve">). Zakres pomiarowy %SpO2 0-100%. Zakres pomiarowy częstości pulsu co najmniej 20-300 P/min. Jednoczesne wyświetlanie krzywej </w:t>
            </w:r>
            <w:proofErr w:type="spellStart"/>
            <w:r>
              <w:rPr>
                <w:rFonts w:ascii="Calibri" w:hAnsi="Calibri" w:cs="Calibri"/>
              </w:rPr>
              <w:t>pletyzmograficznej</w:t>
            </w:r>
            <w:proofErr w:type="spellEnd"/>
            <w:r>
              <w:rPr>
                <w:rFonts w:ascii="Calibri" w:hAnsi="Calibri" w:cs="Calibri"/>
              </w:rPr>
              <w:t xml:space="preserve"> oraz wartości % saturacji, częstości pulsu i wskaźnika perfuzji. Alarm </w:t>
            </w:r>
            <w:proofErr w:type="spellStart"/>
            <w:r>
              <w:rPr>
                <w:rFonts w:ascii="Calibri" w:hAnsi="Calibri" w:cs="Calibri"/>
              </w:rPr>
              <w:t>desaturacji</w:t>
            </w:r>
            <w:proofErr w:type="spellEnd"/>
            <w:r>
              <w:rPr>
                <w:rFonts w:ascii="Calibri" w:hAnsi="Calibri" w:cs="Calibri"/>
              </w:rPr>
              <w:t xml:space="preserve">. W komplecie z monitorem  przewód interfejsowy oraz czujnik SpO2 na palec typu klips oraz </w:t>
            </w:r>
            <w:proofErr w:type="spellStart"/>
            <w:r>
              <w:rPr>
                <w:rFonts w:ascii="Calibri" w:hAnsi="Calibri" w:cs="Calibri"/>
              </w:rPr>
              <w:t>soft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Pomiar częstości oddechu na podstawie SpO2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Nieinwazyjny pomiar ciśnienia </w:t>
            </w:r>
            <w:r>
              <w:rPr>
                <w:rFonts w:ascii="Calibri" w:hAnsi="Calibri" w:cs="Calibri"/>
                <w:bCs/>
              </w:rPr>
              <w:t>(NIPC)</w:t>
            </w:r>
            <w:r>
              <w:rPr>
                <w:rFonts w:ascii="Calibri" w:hAnsi="Calibri" w:cs="Calibri"/>
              </w:rPr>
              <w:t xml:space="preserve"> metoda oscylometryczna. Zakres pomiarowy ciśnienia skurczowego co najmniej od 30 do 290 mmHg. Pomiar ręczny, automatyczny i ciągły. Pomiar automatyczny z regulowanym interwałem co najmniej 1–480 minut. Pomiar sekwencyjny składający się z co najmniej 4 faz, z indywidualnym ustawianiem czasu trwania oraz interwału dla każdej fazy. Prezentacja wartości: skurczowej, rozkurczowej oraz średniej. Funkcja </w:t>
            </w:r>
            <w:proofErr w:type="spellStart"/>
            <w:r>
              <w:rPr>
                <w:rFonts w:ascii="Calibri" w:hAnsi="Calibri" w:cs="Calibri"/>
              </w:rPr>
              <w:t>stazy</w:t>
            </w:r>
            <w:proofErr w:type="spellEnd"/>
            <w:r>
              <w:rPr>
                <w:rFonts w:ascii="Calibri" w:hAnsi="Calibri" w:cs="Calibri"/>
              </w:rPr>
              <w:t>. Funkcja wstępnego ustawiania ciśnienia pompowania mankietu. Możliwość pomiaru ciśnienia metodą nieinwazyjną na tej samej kończynie co pomiar SpO2 bez wywoływania alarmu SpO2. Pomiar częstości pulsu wraz z nieinwazyjnym ciśnieniem co najmniej w zakresie od 30 do 300 P/min. W komplecie z monitorem przewód oraz mankiet w rozmiarze średnim, dużym oraz b. dużym.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Pomiar temperatury, dwa tory pomiarowe. Zakres pomiarowy co najmniej od 0 do 50</w:t>
            </w:r>
            <w:r>
              <w:rPr>
                <w:rFonts w:ascii="Calibri" w:hAnsi="Calibri" w:cs="Calibri"/>
                <w:vertAlign w:val="superscript"/>
              </w:rPr>
              <w:t>o</w:t>
            </w:r>
            <w:r>
              <w:rPr>
                <w:rFonts w:ascii="Calibri" w:hAnsi="Calibri" w:cs="Calibri"/>
              </w:rPr>
              <w:t xml:space="preserve">C. Wyświetlanie </w:t>
            </w:r>
            <w:r>
              <w:rPr>
                <w:rFonts w:ascii="Calibri" w:hAnsi="Calibri" w:cs="Calibri"/>
                <w:bCs/>
              </w:rPr>
              <w:t>T1, T2</w:t>
            </w:r>
            <w:r>
              <w:rPr>
                <w:rFonts w:ascii="Calibri" w:hAnsi="Calibri" w:cs="Calibri"/>
              </w:rPr>
              <w:t xml:space="preserve"> oraz różnicy między nimi. Wybór etykiety  temperatury zgodnie z miejscem pomiaru z listy co najmniej 10 etykiet zapisanych w pamięci monitora.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</w:rPr>
              <w:t>Monitor przygotowany do rozbudowy o inwazyjny pomiar ciśnienia(</w:t>
            </w:r>
            <w:r>
              <w:rPr>
                <w:rFonts w:cstheme="minorHAnsi"/>
                <w:b/>
              </w:rPr>
              <w:t>IBP</w:t>
            </w:r>
            <w:r>
              <w:rPr>
                <w:rFonts w:cstheme="minorHAnsi"/>
              </w:rPr>
              <w:t>), dwa tory pomiarowe (wbudowane gniazda bez akcesoriów pomiarowych)</w:t>
            </w:r>
          </w:p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Wyświetlanie wartości skurczowych, rozkurczowych i średnich. Zakres pomiarowy inwazyjnego ciśnienia co najmniej od -50 do +350 mmHg. Obliczanie wartości PPV. Pomiar częstości pulsu wraz z inwazyjnym ciśnieniem co najmniej w zakresie od 20 do 350 P/min.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Monitor przygotowany do rozbudowy o pomiar rzutu minutowego metodą </w:t>
            </w:r>
            <w:proofErr w:type="spellStart"/>
            <w:r>
              <w:rPr>
                <w:rFonts w:cstheme="minorHAnsi"/>
              </w:rPr>
              <w:t>termodylucji</w:t>
            </w:r>
            <w:proofErr w:type="spellEnd"/>
            <w:r>
              <w:rPr>
                <w:rFonts w:cstheme="minorHAnsi"/>
              </w:rPr>
              <w:t xml:space="preserve"> (wbudowane gniazdo do podłączenia pomiaru </w:t>
            </w:r>
            <w:proofErr w:type="spellStart"/>
            <w:r>
              <w:rPr>
                <w:rFonts w:cstheme="minorHAnsi"/>
              </w:rPr>
              <w:t>termodylucji</w:t>
            </w:r>
            <w:proofErr w:type="spellEnd"/>
            <w:r>
              <w:rPr>
                <w:rFonts w:cstheme="minorHAnsi"/>
              </w:rPr>
              <w:t>). Bez wyposażenia.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Pomiar kapnografii w strumieniu bocznym. Zakres pomiarowy stężenia CO2 co najmniej od 0 do 150 mmHg. Zakres pomiarowy częstości oddechu co najmniej od 0 do 150 R/min. W komplecie z monitorem 1 szt. akcesoriów do usuwania wilgoci z układu pomiarowego (pułapka wodna lub </w:t>
            </w:r>
            <w:proofErr w:type="spellStart"/>
            <w:r>
              <w:rPr>
                <w:rFonts w:ascii="Calibri" w:hAnsi="Calibri" w:cs="Calibri"/>
              </w:rPr>
              <w:t>nafion</w:t>
            </w:r>
            <w:proofErr w:type="spellEnd"/>
            <w:r>
              <w:rPr>
                <w:rFonts w:ascii="Calibri" w:hAnsi="Calibri" w:cs="Calibri"/>
              </w:rPr>
              <w:t xml:space="preserve"> w zależności od stosowanej technologii) oraz 1 szt. jednorazowych linii próbkujących. Monitor wyposażony w funkcję trybu intubacji: zawieszenie działania alarmów związanych z pomiarem CO2 i wyświetlanie na ekranie stopera z czasem jaki pozostał do zakończenia procesu intubacji (ustawiane czasy co najmniej do wyboru 1 i 2 minuty).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Przynajmniej 120-godzinne trendy wszystkich mierzonych parametrów, w postaci tabel i wykresów  z rozdzielczością od 1 minuty oraz 1200-godzinne trendy wszystkich mierzonych parametrów, w postaci tabel i wykresów  z rozdzielczością od 10 minuty 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Zapamiętywanie krzywych dynamicznych w czasie rzeczywistym (funkcja </w:t>
            </w:r>
            <w:proofErr w:type="spellStart"/>
            <w:r>
              <w:rPr>
                <w:rFonts w:ascii="Calibri" w:hAnsi="Calibri" w:cs="Calibri"/>
              </w:rPr>
              <w:t>full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dislosure</w:t>
            </w:r>
            <w:proofErr w:type="spellEnd"/>
            <w:r>
              <w:rPr>
                <w:rFonts w:ascii="Calibri" w:hAnsi="Calibri" w:cs="Calibri"/>
              </w:rPr>
              <w:t>) – pamięć co najmniej 24 godzin.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Zapamiętywanie co najmniej 1000 zdarzeń alarmowych (krzywe i odpowiadające im wartości parametrów).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</w:t>
            </w: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Możliwość wyposażenia kardiomonitora w wbudowany rejestrator termiczny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wyposażony w funkcje obliczeń dawki (lekowych), hemodynamicznych,  natlenienia, nerkowych i wentylacji.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wyposażony w funkcję wprowadzania danych i obliczania punktacji wczesnego ostrzegania EWS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wyposażony w funkcję oceny stanu świadomości wg. skali Glasgow (GCS) – wprowadzanie danych, wyświetlanie punktacji łącznej i podrzędnej oraz ustawianie odstępu czasowego w jakim mają być wprowadzane dane.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Funkcja „</w:t>
            </w:r>
            <w:proofErr w:type="spellStart"/>
            <w:r>
              <w:rPr>
                <w:rFonts w:ascii="Calibri" w:hAnsi="Calibri" w:cs="Calibri"/>
                <w:color w:val="000000"/>
              </w:rPr>
              <w:t>standby</w:t>
            </w:r>
            <w:proofErr w:type="spellEnd"/>
            <w:r>
              <w:rPr>
                <w:rFonts w:ascii="Calibri" w:hAnsi="Calibri" w:cs="Calibri"/>
                <w:color w:val="000000"/>
              </w:rPr>
              <w:t>”, pozwalająca na wstrzymanie monitorowania pacjenta, związane np. z czasowym odłączeniem go od monitora, bez konieczności wyłączania monitora, oraz na szybkie, ponowne uruchomienie monitorowania.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Funkcja „tryb prywatny” pozwalająca - w przypadku podłączenia urządzenia do centrali - na ukrycie danych przed pacjentem i wyświetlanie ich tylko na stanowisku centralnym.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Możliwość współpracy ze stacją centralnego nadzoru przystosowanej również do obsługi monitorów modułowych oraz nadajników telemetrycznych,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323" w:rsidRDefault="00A71323" w:rsidP="00A713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Uchwyt na ścianę z półką do mocowania monitora i koszykiem na akcesoria lub statyw jezdny z półką do mocowania monitora i koszykiem na akcesoria.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Default="00A71323" w:rsidP="00A71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23" w:rsidRPr="00EA7596" w:rsidRDefault="00A71323" w:rsidP="00A713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323" w:rsidRPr="00EA7596" w:rsidTr="002C31E0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3" w:rsidRPr="00EA7596" w:rsidRDefault="00A71323" w:rsidP="00A713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Centralnego Monitorowania</w:t>
            </w: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</w:rPr>
              <w:t>Stacja centralnego monitorowania umożliwiająca podłączenie do 64  stanowisk monitorowania bez konieczności rozbudowywania oprogramowania o dodatkowe opcje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Jednoczesny podgląd parametrów ze wszystkich podłączonych do centrali monitorów pacjenta z funkcją indywidualnej konfiguracji pól poszczególnych monitorów (ilość i układ krzywych oraz wartości parametrów)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Możliwość pełnego podglądu wybranego monitor pacjenta (wszystkie krzywe i wartości parametrów)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Zestaw akcesoriów sieciowych do podłączenia powyżej opisanych monitorów pacjenta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Centrala zainstalowana na komputerze połączonym z dwoma ekranami każdym o przekątnej co najmniej 23”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Alarmy 3-stopniowe (wizualne i akustyczne) z poszczególnych łóżek, z identyfikacją alarmującego łóżka. Wyciszanie alarmów i uruchamianie pomiaru ciśnienia nieinwazyjnego z poziomu centrali.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Wyświetlanie alarmów technicznych w formie graficznej, ułatwiające szybką identyfikację problemu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Wyświetlanie na ekranie centrali analizy załamka ST w formie graficznej, pokazujący w czasie rzeczywistym odchylenie wartości ST od linii odniesienia.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Centrala wyposażona w funkcję obliczeń lekowych, hemodynamicznych, wentylacyjnych, nerkowych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Wpisywanie danych demograficznych pacjenta w centrali i w monitorach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Pamięć stanów krytycznych (alarmów i arytmii i innych zdarzeń, z zapisem odcinków krzywych dynamicznych i wartości liczbowych) - minimalna liczba zdarzeń: 3000/pacjenta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Pamięć ciągłego zapisu monitorowanych przebiegów falowych (</w:t>
            </w:r>
            <w:proofErr w:type="spellStart"/>
            <w:r>
              <w:rPr>
                <w:rFonts w:cstheme="minorHAnsi"/>
                <w:lang w:eastAsia="ar-SA"/>
              </w:rPr>
              <w:t>EKG+inne</w:t>
            </w:r>
            <w:proofErr w:type="spellEnd"/>
            <w:r>
              <w:rPr>
                <w:rFonts w:cstheme="minorHAnsi"/>
                <w:lang w:eastAsia="ar-SA"/>
              </w:rPr>
              <w:t xml:space="preserve">) - z ostatnich min. 240 godzin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Trendy tabelaryczne: pamięć z ostatnich min. 240 godzin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Możliwość  rozbudowy o bezpośrednie podłączenie do centrali respiratorów (poprzez sieć LAN/</w:t>
            </w:r>
            <w:proofErr w:type="spellStart"/>
            <w:r>
              <w:rPr>
                <w:rFonts w:cstheme="minorHAnsi"/>
                <w:lang w:eastAsia="ar-SA"/>
              </w:rPr>
              <w:t>WiFi</w:t>
            </w:r>
            <w:proofErr w:type="spellEnd"/>
            <w:r>
              <w:rPr>
                <w:rFonts w:cstheme="minorHAnsi"/>
                <w:lang w:eastAsia="ar-SA"/>
              </w:rPr>
              <w:t xml:space="preserve">) oraz </w:t>
            </w:r>
            <w:r>
              <w:rPr>
                <w:rFonts w:cstheme="minorHAnsi"/>
              </w:rPr>
              <w:t>możliwość rozbudowy o bezpośrednie podłączenie (bez pośrednictwa dodatkowych urządzeń) pomp infuzyjnych. Możliwość wyświetlania danych z pracy pompy w odrębnym oknie centrali.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6A40C2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Możliwość podglądu wybranego monitora pacjenta na dowolnym komputerze PC z oprogramowaniem Windows podłączonym do wspólnej sieci ze stacją centralnego monitorowania. Podgląd za pomocą dedykowanego oprogramowania producenta oprogramowania centrali.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 xml:space="preserve">Drukarka laserowa do wydruków trendów i raportów na standardowym papierze A4; wbudowane łącze do sieci Ethernet 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Podtrzymanie zasilania elektrycznego każdego stanowiska monitorowania centralnego (UPS) min. 20 min.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</w:rPr>
              <w:t>Funkcja ustawiania trybu prywatnego z poziomu centrali indywidualnie w poszczególnych monitorów pacjenta oraz we wszystkich monitorach pacjenta jednocześnie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</w:rPr>
              <w:t>Funkcja zdalnego programowania układu krzywych i wartości parametrów na wybranym monitorze pacjenta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</w:rPr>
              <w:t>Funkcja ustawiania trybu nocnego z poziomu centrali indywidualnie w poszczególnych monitorów pacjenta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</w:rPr>
              <w:t>Funkcja ustawiania trybu nocnego z poziomu centrali we wszystkich monitorach pacjenta jednocześnie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Możliwość rozbudowy centrali o podgląd i zbieranie danych z monitorów funkcji życiowych pracujących w trybie </w:t>
            </w:r>
            <w:proofErr w:type="spellStart"/>
            <w:r>
              <w:rPr>
                <w:rFonts w:cstheme="minorHAnsi"/>
              </w:rPr>
              <w:t>SpotCheck</w:t>
            </w:r>
            <w:proofErr w:type="spellEnd"/>
            <w:r>
              <w:rPr>
                <w:rFonts w:cstheme="minorHAnsi"/>
              </w:rPr>
              <w:t xml:space="preserve"> (kontroli)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</w:rPr>
              <w:t>Możliwość przyszłej integracji ze szpitalnymi systemami informatycznymi klasy HIS co najmniej w zakresie importowania danych ADT (przyjęcia i wypisy pacjentów)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Możliwość rozbudowy centrali o funkcję podglądu parametrów monitorowanych pacjentów na telefonach komórkowych oraz tabletach wyposażonych w system operacyjny Android lub iOS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Instrukcja obsługi w języku polskim (dostarczyć wraz z aparatem)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Certyfikat CE  (dokumenty załączyć)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Autoryzacja producenta na serwis i sprzedaż zaoferowanego urządzenia na terenie Polski (dokumenty załączyć)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Nieodpłatne dostępy do kodów serwisowych po zakończeniu gwarancji.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33B1" w:rsidRPr="00EA7596" w:rsidTr="002C31E0">
        <w:trPr>
          <w:cantSplit/>
          <w:trHeight w:val="5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Pr="00EA7596" w:rsidRDefault="003433B1" w:rsidP="003433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3B1" w:rsidRDefault="003433B1" w:rsidP="003433B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Gwarancja minimum 24 miesiące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B1" w:rsidRDefault="003433B1" w:rsidP="003433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TAK, podać</w:t>
            </w:r>
          </w:p>
          <w:p w:rsidR="006A40C2" w:rsidRPr="00EA7596" w:rsidRDefault="006A40C2" w:rsidP="006A40C2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Parametr oceniany:</w:t>
            </w:r>
          </w:p>
          <w:p w:rsidR="006A40C2" w:rsidRPr="00EA7596" w:rsidRDefault="006A40C2" w:rsidP="006A40C2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24 miesiące- 0pkt</w:t>
            </w:r>
          </w:p>
          <w:p w:rsidR="006A40C2" w:rsidRPr="00EA7596" w:rsidRDefault="006A40C2" w:rsidP="006A40C2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36 miesięcy- 20 pkt</w:t>
            </w:r>
          </w:p>
          <w:p w:rsidR="006A40C2" w:rsidRPr="00EA7596" w:rsidRDefault="006A40C2" w:rsidP="006A40C2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48 miesięcy – 40 pkt</w:t>
            </w:r>
          </w:p>
          <w:p w:rsidR="006A40C2" w:rsidRDefault="006A40C2" w:rsidP="003433B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B1" w:rsidRPr="00EA7596" w:rsidRDefault="003433B1" w:rsidP="003433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B4037" w:rsidRDefault="000B4037" w:rsidP="000B4037">
      <w:pPr>
        <w:rPr>
          <w:rFonts w:asciiTheme="minorHAnsi" w:eastAsia="Calibri" w:hAnsiTheme="minorHAnsi" w:cs="Arial"/>
        </w:rPr>
      </w:pPr>
    </w:p>
    <w:p w:rsidR="00690370" w:rsidRDefault="00690370" w:rsidP="005C1EF3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sectPr w:rsidR="006903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463" w:rsidRDefault="00BC6463" w:rsidP="000D4E7D">
      <w:r>
        <w:separator/>
      </w:r>
    </w:p>
  </w:endnote>
  <w:endnote w:type="continuationSeparator" w:id="0">
    <w:p w:rsidR="00BC6463" w:rsidRDefault="00BC6463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463" w:rsidRDefault="00BC6463" w:rsidP="000D4E7D">
      <w:r>
        <w:separator/>
      </w:r>
    </w:p>
  </w:footnote>
  <w:footnote w:type="continuationSeparator" w:id="0">
    <w:p w:rsidR="00BC6463" w:rsidRDefault="00BC6463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1E0" w:rsidRDefault="002C31E0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1E7B11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97E9D"/>
    <w:rsid w:val="00406186"/>
    <w:rsid w:val="004359E4"/>
    <w:rsid w:val="004646AB"/>
    <w:rsid w:val="00464C16"/>
    <w:rsid w:val="00510005"/>
    <w:rsid w:val="00597DCC"/>
    <w:rsid w:val="005A2DA4"/>
    <w:rsid w:val="005C1EF3"/>
    <w:rsid w:val="00615B2E"/>
    <w:rsid w:val="00690370"/>
    <w:rsid w:val="006A40C2"/>
    <w:rsid w:val="006E5642"/>
    <w:rsid w:val="00767D44"/>
    <w:rsid w:val="0078407C"/>
    <w:rsid w:val="00823C89"/>
    <w:rsid w:val="00826616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A46D6D"/>
    <w:rsid w:val="00A71323"/>
    <w:rsid w:val="00AA635E"/>
    <w:rsid w:val="00BC6463"/>
    <w:rsid w:val="00BF6D53"/>
    <w:rsid w:val="00C23837"/>
    <w:rsid w:val="00C54BB1"/>
    <w:rsid w:val="00D129F8"/>
    <w:rsid w:val="00D2335A"/>
    <w:rsid w:val="00D900E7"/>
    <w:rsid w:val="00D90406"/>
    <w:rsid w:val="00DE3A4D"/>
    <w:rsid w:val="00DF1631"/>
    <w:rsid w:val="00E81615"/>
    <w:rsid w:val="00EB7FA7"/>
    <w:rsid w:val="00EE152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CB82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68A4-B9F1-48F9-8521-F6BF10B1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2003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3</cp:revision>
  <dcterms:created xsi:type="dcterms:W3CDTF">2026-03-13T12:56:00Z</dcterms:created>
  <dcterms:modified xsi:type="dcterms:W3CDTF">2026-03-16T12:01:00Z</dcterms:modified>
</cp:coreProperties>
</file>