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A70" w:rsidRPr="005A1530" w:rsidRDefault="00925A70" w:rsidP="00925A70">
      <w:pPr>
        <w:shd w:val="clear" w:color="auto" w:fill="FFFFFF"/>
        <w:suppressAutoHyphens/>
        <w:ind w:left="6372" w:firstLine="708"/>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Załącznik nr 1 do SWZ</w:t>
      </w:r>
    </w:p>
    <w:p w:rsidR="00925A70" w:rsidRPr="005A1530" w:rsidRDefault="00925A70" w:rsidP="00925A70">
      <w:pPr>
        <w:shd w:val="clear" w:color="auto" w:fill="FFFFFF"/>
        <w:suppressAutoHyphens/>
        <w:rPr>
          <w:rFonts w:asciiTheme="majorHAnsi" w:eastAsia="Calibri" w:hAnsiTheme="majorHAnsi" w:cstheme="majorHAnsi"/>
          <w:b/>
          <w:bCs/>
          <w:sz w:val="22"/>
          <w:szCs w:val="22"/>
          <w:lang w:eastAsia="ar-SA"/>
        </w:rPr>
      </w:pPr>
    </w:p>
    <w:p w:rsidR="00925A70" w:rsidRPr="005A1530" w:rsidRDefault="00925A70" w:rsidP="00925A70">
      <w:pPr>
        <w:shd w:val="clear" w:color="auto" w:fill="FFFFFF"/>
        <w:suppressAutoHyphens/>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Wykonawca:</w:t>
      </w:r>
    </w:p>
    <w:p w:rsidR="00925A70" w:rsidRPr="005A1530" w:rsidRDefault="00925A70" w:rsidP="00925A70">
      <w:pPr>
        <w:shd w:val="clear" w:color="auto" w:fill="FFFFFF"/>
        <w:suppressAutoHyphens/>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w:t>
      </w:r>
    </w:p>
    <w:p w:rsidR="00925A70" w:rsidRPr="005A1530" w:rsidRDefault="00925A70" w:rsidP="00925A70">
      <w:pPr>
        <w:shd w:val="clear" w:color="auto" w:fill="FFFFFF"/>
        <w:suppressAutoHyphens/>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w:t>
      </w:r>
    </w:p>
    <w:p w:rsidR="00925A70" w:rsidRPr="005A1530" w:rsidRDefault="00925A70" w:rsidP="00925A70">
      <w:pPr>
        <w:shd w:val="clear" w:color="auto" w:fill="FFFFFF"/>
        <w:suppressAutoHyphens/>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w:t>
      </w:r>
    </w:p>
    <w:p w:rsidR="00925A70" w:rsidRPr="005A1530" w:rsidRDefault="00925A70" w:rsidP="00925A70">
      <w:pPr>
        <w:shd w:val="clear" w:color="auto" w:fill="FFFFFF"/>
        <w:suppressAutoHyphens/>
        <w:rPr>
          <w:rFonts w:asciiTheme="majorHAnsi" w:eastAsia="Calibri" w:hAnsiTheme="majorHAnsi" w:cstheme="majorHAnsi"/>
          <w:b/>
          <w:bCs/>
          <w:i/>
          <w:sz w:val="22"/>
          <w:szCs w:val="22"/>
          <w:lang w:eastAsia="ar-SA"/>
        </w:rPr>
      </w:pPr>
      <w:r w:rsidRPr="005A1530">
        <w:rPr>
          <w:rFonts w:asciiTheme="majorHAnsi" w:eastAsia="Calibri" w:hAnsiTheme="majorHAnsi" w:cstheme="majorHAnsi"/>
          <w:b/>
          <w:bCs/>
          <w:sz w:val="22"/>
          <w:szCs w:val="22"/>
          <w:lang w:eastAsia="ar-SA"/>
        </w:rPr>
        <w:t>(</w:t>
      </w:r>
      <w:r w:rsidRPr="005A1530">
        <w:rPr>
          <w:rFonts w:asciiTheme="majorHAnsi" w:eastAsia="Calibri" w:hAnsiTheme="majorHAnsi" w:cstheme="majorHAnsi"/>
          <w:b/>
          <w:bCs/>
          <w:i/>
          <w:sz w:val="22"/>
          <w:szCs w:val="22"/>
          <w:lang w:eastAsia="ar-SA"/>
        </w:rPr>
        <w:t>pełna nazwa/firma, adres)</w:t>
      </w:r>
    </w:p>
    <w:p w:rsidR="00925A70" w:rsidRPr="005A1530" w:rsidRDefault="00925A70" w:rsidP="00925A70">
      <w:pPr>
        <w:shd w:val="clear" w:color="auto" w:fill="FFFFFF"/>
        <w:suppressAutoHyphens/>
        <w:rPr>
          <w:rFonts w:asciiTheme="majorHAnsi" w:eastAsia="Calibri" w:hAnsiTheme="majorHAnsi" w:cstheme="majorHAnsi"/>
          <w:b/>
          <w:bCs/>
          <w:i/>
          <w:sz w:val="22"/>
          <w:szCs w:val="22"/>
          <w:lang w:eastAsia="ar-SA"/>
        </w:rPr>
      </w:pPr>
      <w:r w:rsidRPr="005A1530">
        <w:rPr>
          <w:rFonts w:asciiTheme="majorHAnsi" w:eastAsia="Calibri" w:hAnsiTheme="majorHAnsi" w:cstheme="majorHAnsi"/>
          <w:b/>
          <w:bCs/>
          <w:sz w:val="22"/>
          <w:szCs w:val="22"/>
          <w:lang w:eastAsia="ar-SA"/>
        </w:rPr>
        <w:t>NIP</w:t>
      </w:r>
      <w:r w:rsidRPr="005A1530">
        <w:rPr>
          <w:rFonts w:asciiTheme="majorHAnsi" w:eastAsia="Calibri" w:hAnsiTheme="majorHAnsi" w:cstheme="majorHAnsi"/>
          <w:b/>
          <w:bCs/>
          <w:i/>
          <w:sz w:val="22"/>
          <w:szCs w:val="22"/>
          <w:lang w:eastAsia="ar-SA"/>
        </w:rPr>
        <w:t xml:space="preserve"> ………………………….….</w:t>
      </w:r>
    </w:p>
    <w:p w:rsidR="00925A70" w:rsidRPr="005A1530" w:rsidRDefault="00925A70" w:rsidP="00925A70">
      <w:pPr>
        <w:shd w:val="clear" w:color="auto" w:fill="FFFFFF"/>
        <w:suppressAutoHyphens/>
        <w:rPr>
          <w:rFonts w:asciiTheme="majorHAnsi" w:eastAsia="Calibri" w:hAnsiTheme="majorHAnsi" w:cstheme="majorHAnsi"/>
          <w:b/>
          <w:bCs/>
          <w:i/>
          <w:sz w:val="22"/>
          <w:szCs w:val="22"/>
          <w:lang w:eastAsia="ar-SA"/>
        </w:rPr>
      </w:pPr>
      <w:r w:rsidRPr="005A1530">
        <w:rPr>
          <w:rFonts w:asciiTheme="majorHAnsi" w:eastAsia="Calibri" w:hAnsiTheme="majorHAnsi" w:cstheme="majorHAnsi"/>
          <w:b/>
          <w:bCs/>
          <w:i/>
          <w:sz w:val="22"/>
          <w:szCs w:val="22"/>
          <w:lang w:eastAsia="ar-SA"/>
        </w:rPr>
        <w:t>KRS ……………………..………</w:t>
      </w:r>
    </w:p>
    <w:p w:rsidR="00925A70" w:rsidRPr="005A1530" w:rsidRDefault="00925A70" w:rsidP="00925A70">
      <w:pPr>
        <w:shd w:val="clear" w:color="auto" w:fill="FFFFFF"/>
        <w:suppressAutoHyphens/>
        <w:spacing w:before="280" w:after="280" w:line="276" w:lineRule="auto"/>
        <w:jc w:val="center"/>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 xml:space="preserve">OFERTA – Część nr </w:t>
      </w:r>
      <w:r w:rsidR="00CA1B8F">
        <w:rPr>
          <w:rFonts w:asciiTheme="majorHAnsi" w:eastAsia="Calibri" w:hAnsiTheme="majorHAnsi" w:cstheme="majorHAnsi"/>
          <w:b/>
          <w:bCs/>
          <w:sz w:val="22"/>
          <w:szCs w:val="22"/>
          <w:lang w:eastAsia="ar-SA"/>
        </w:rPr>
        <w:t>3</w:t>
      </w:r>
    </w:p>
    <w:p w:rsidR="00925A70" w:rsidRPr="005A1530" w:rsidRDefault="00925A70" w:rsidP="000D4E7D">
      <w:pPr>
        <w:shd w:val="clear" w:color="auto" w:fill="FFFFFF"/>
        <w:suppressAutoHyphens/>
        <w:spacing w:before="280" w:after="280" w:line="276" w:lineRule="auto"/>
        <w:jc w:val="center"/>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(wraz z opisem przedmiotu zamówienia)</w:t>
      </w:r>
    </w:p>
    <w:p w:rsidR="00925A70" w:rsidRPr="005A1530" w:rsidRDefault="00925A70" w:rsidP="00925A70">
      <w:pPr>
        <w:pStyle w:val="Tytu"/>
        <w:spacing w:after="60" w:line="276" w:lineRule="auto"/>
        <w:jc w:val="both"/>
        <w:rPr>
          <w:rFonts w:asciiTheme="majorHAnsi" w:eastAsia="Times New Roman" w:hAnsiTheme="majorHAnsi" w:cstheme="majorHAnsi"/>
          <w:b w:val="0"/>
          <w:bCs w:val="0"/>
          <w:sz w:val="22"/>
          <w:szCs w:val="22"/>
          <w:lang w:eastAsia="pl-PL"/>
        </w:rPr>
      </w:pPr>
      <w:r w:rsidRPr="005A1530">
        <w:rPr>
          <w:rFonts w:asciiTheme="majorHAnsi" w:eastAsia="Calibri" w:hAnsiTheme="majorHAnsi" w:cstheme="majorHAnsi"/>
          <w:b w:val="0"/>
          <w:bCs w:val="0"/>
          <w:sz w:val="22"/>
          <w:szCs w:val="22"/>
          <w:lang w:eastAsia="ar-SA"/>
        </w:rPr>
        <w:t xml:space="preserve">W odpowiedzi na ogłoszenie dotyczące udzielenia zamówienia publicznego na  </w:t>
      </w:r>
      <w:r w:rsidRPr="005A1530">
        <w:rPr>
          <w:rFonts w:asciiTheme="majorHAnsi" w:eastAsia="Calibri" w:hAnsiTheme="majorHAnsi" w:cstheme="majorHAnsi"/>
          <w:b w:val="0"/>
          <w:bCs w:val="0"/>
          <w:sz w:val="22"/>
          <w:szCs w:val="22"/>
          <w:lang w:val="pl-PL" w:eastAsia="ar-SA"/>
        </w:rPr>
        <w:t xml:space="preserve">dostawę sprzętu medycznego, </w:t>
      </w:r>
      <w:r w:rsidRPr="005A1530">
        <w:rPr>
          <w:rFonts w:asciiTheme="majorHAnsi" w:eastAsia="Calibri" w:hAnsiTheme="majorHAnsi" w:cstheme="majorHAnsi"/>
          <w:b w:val="0"/>
          <w:iCs/>
          <w:sz w:val="22"/>
          <w:szCs w:val="22"/>
          <w:lang w:val="pl-PL" w:eastAsia="ar-SA"/>
        </w:rPr>
        <w:t xml:space="preserve">w </w:t>
      </w:r>
      <w:r w:rsidRPr="005A1530">
        <w:rPr>
          <w:rFonts w:asciiTheme="majorHAnsi" w:eastAsia="Calibri" w:hAnsiTheme="majorHAnsi" w:cstheme="majorHAnsi"/>
          <w:b w:val="0"/>
          <w:sz w:val="22"/>
          <w:szCs w:val="22"/>
          <w:lang w:eastAsia="ar-SA"/>
        </w:rPr>
        <w:t xml:space="preserve"> ramach zadania inwestycyjnego pod nazwą:</w:t>
      </w:r>
      <w:r w:rsidRPr="005A1530">
        <w:rPr>
          <w:rFonts w:asciiTheme="majorHAnsi" w:eastAsia="Calibri" w:hAnsiTheme="majorHAnsi" w:cstheme="majorHAnsi"/>
          <w:b w:val="0"/>
          <w:sz w:val="22"/>
          <w:szCs w:val="22"/>
          <w:lang w:val="pl-PL" w:eastAsia="ar-SA"/>
        </w:rPr>
        <w:t xml:space="preserve"> </w:t>
      </w:r>
      <w:r w:rsidRPr="005A1530">
        <w:rPr>
          <w:rFonts w:asciiTheme="majorHAnsi" w:hAnsiTheme="majorHAnsi" w:cstheme="majorHAnsi"/>
          <w:sz w:val="22"/>
          <w:szCs w:val="22"/>
        </w:rPr>
        <w:t xml:space="preserve">„Doposażenie Oddziału Kardiologii z Pododdziałem </w:t>
      </w:r>
      <w:proofErr w:type="spellStart"/>
      <w:r w:rsidRPr="005A1530">
        <w:rPr>
          <w:rFonts w:asciiTheme="majorHAnsi" w:hAnsiTheme="majorHAnsi" w:cstheme="majorHAnsi"/>
          <w:sz w:val="22"/>
          <w:szCs w:val="22"/>
        </w:rPr>
        <w:t>Kardioonkologii</w:t>
      </w:r>
      <w:proofErr w:type="spellEnd"/>
      <w:r w:rsidRPr="005A1530">
        <w:rPr>
          <w:rFonts w:asciiTheme="majorHAnsi" w:hAnsiTheme="majorHAnsi" w:cstheme="majorHAnsi"/>
          <w:sz w:val="22"/>
          <w:szCs w:val="22"/>
        </w:rPr>
        <w:t xml:space="preserve"> i Pracownią Elektroterapii Szpitala Specjalistycznego w Brzozowie Podkarpackiego Ośrodka Onkologicznego”</w:t>
      </w:r>
      <w:r w:rsidRPr="005A1530">
        <w:rPr>
          <w:rFonts w:asciiTheme="majorHAnsi" w:hAnsiTheme="majorHAnsi" w:cstheme="majorHAnsi"/>
          <w:sz w:val="22"/>
          <w:szCs w:val="22"/>
          <w:lang w:val="pl-PL"/>
        </w:rPr>
        <w:t xml:space="preserve"> </w:t>
      </w:r>
      <w:r w:rsidRPr="005A1530">
        <w:rPr>
          <w:rFonts w:asciiTheme="majorHAnsi" w:hAnsiTheme="majorHAnsi" w:cstheme="majorHAnsi"/>
          <w:sz w:val="22"/>
          <w:szCs w:val="22"/>
        </w:rPr>
        <w:t>realizowanego w ramach Krajowego Planu Odbudowy i Zwiększania Odporności:</w:t>
      </w:r>
      <w:r w:rsidRPr="005A1530">
        <w:rPr>
          <w:rFonts w:asciiTheme="majorHAnsi" w:hAnsiTheme="majorHAnsi" w:cstheme="majorHAnsi"/>
          <w:sz w:val="22"/>
          <w:szCs w:val="22"/>
          <w:lang w:val="pl-PL"/>
        </w:rPr>
        <w:t xml:space="preserve"> </w:t>
      </w:r>
      <w:r w:rsidRPr="005A1530">
        <w:rPr>
          <w:rFonts w:asciiTheme="majorHAnsi" w:hAnsiTheme="majorHAnsi" w:cstheme="majorHAnsi"/>
          <w:sz w:val="22"/>
          <w:szCs w:val="22"/>
        </w:rPr>
        <w:t>Komponent D „Efektywność, dostępność i jakość systemu ochrony zdrowia”</w:t>
      </w:r>
      <w:r w:rsidRPr="005A1530">
        <w:rPr>
          <w:rFonts w:asciiTheme="majorHAnsi" w:hAnsiTheme="majorHAnsi" w:cstheme="majorHAnsi"/>
          <w:sz w:val="22"/>
          <w:szCs w:val="22"/>
          <w:lang w:val="pl-PL"/>
        </w:rPr>
        <w:t xml:space="preserve"> </w:t>
      </w:r>
      <w:r w:rsidRPr="005A1530">
        <w:rPr>
          <w:rFonts w:asciiTheme="majorHAnsi" w:hAnsiTheme="majorHAnsi" w:cstheme="majorHAnsi"/>
          <w:sz w:val="22"/>
          <w:szCs w:val="22"/>
        </w:rPr>
        <w:t>Inwestycja D1.1.1 „Rozwój i modernizacja infrastruktury centrów opieki wysokospecjalistycznej i innych podmiotów leczniczych”</w:t>
      </w:r>
      <w:r w:rsidRPr="005A1530">
        <w:rPr>
          <w:rFonts w:asciiTheme="majorHAnsi" w:hAnsiTheme="majorHAnsi" w:cstheme="majorHAnsi"/>
          <w:sz w:val="22"/>
          <w:szCs w:val="22"/>
          <w:lang w:val="pl-PL"/>
        </w:rPr>
        <w:t xml:space="preserve"> </w:t>
      </w:r>
      <w:r w:rsidRPr="005A1530">
        <w:rPr>
          <w:rFonts w:asciiTheme="majorHAnsi" w:hAnsiTheme="majorHAnsi" w:cstheme="majorHAnsi"/>
          <w:b w:val="0"/>
          <w:sz w:val="22"/>
          <w:szCs w:val="22"/>
          <w:lang w:val="pl-PL"/>
        </w:rPr>
        <w:t>składam następującą ofertę:</w:t>
      </w:r>
    </w:p>
    <w:p w:rsidR="00925A70" w:rsidRPr="005A1530" w:rsidRDefault="00925A70" w:rsidP="00925A70">
      <w:pPr>
        <w:spacing w:after="60" w:line="276" w:lineRule="auto"/>
        <w:jc w:val="both"/>
        <w:rPr>
          <w:rFonts w:asciiTheme="majorHAnsi" w:eastAsia="Batang" w:hAnsiTheme="majorHAnsi" w:cstheme="majorHAnsi"/>
          <w:b/>
          <w:bCs/>
          <w:sz w:val="22"/>
          <w:szCs w:val="22"/>
          <w:lang w:eastAsia="x-none"/>
        </w:rPr>
      </w:pPr>
    </w:p>
    <w:tbl>
      <w:tblPr>
        <w:tblpPr w:leftFromText="141" w:rightFromText="141" w:vertAnchor="text" w:horzAnchor="margin" w:tblpXSpec="center" w:tblpY="1"/>
        <w:tblOverlap w:val="never"/>
        <w:tblW w:w="10620" w:type="dxa"/>
        <w:tblLayout w:type="fixed"/>
        <w:tblCellMar>
          <w:left w:w="10" w:type="dxa"/>
          <w:right w:w="10" w:type="dxa"/>
        </w:tblCellMar>
        <w:tblLook w:val="04A0" w:firstRow="1" w:lastRow="0" w:firstColumn="1" w:lastColumn="0" w:noHBand="0" w:noVBand="1"/>
      </w:tblPr>
      <w:tblGrid>
        <w:gridCol w:w="425"/>
        <w:gridCol w:w="2824"/>
        <w:gridCol w:w="567"/>
        <w:gridCol w:w="709"/>
        <w:gridCol w:w="1276"/>
        <w:gridCol w:w="1559"/>
        <w:gridCol w:w="992"/>
        <w:gridCol w:w="851"/>
        <w:gridCol w:w="1417"/>
      </w:tblGrid>
      <w:tr w:rsidR="00925A70" w:rsidRPr="005A1530" w:rsidTr="00925A70">
        <w:trPr>
          <w:trHeight w:val="1030"/>
        </w:trPr>
        <w:tc>
          <w:tcPr>
            <w:tcW w:w="425" w:type="dxa"/>
            <w:tcBorders>
              <w:top w:val="single" w:sz="4" w:space="0" w:color="000000"/>
              <w:left w:val="single" w:sz="4" w:space="0" w:color="000000"/>
              <w:bottom w:val="single" w:sz="4" w:space="0" w:color="000000"/>
              <w:right w:val="nil"/>
            </w:tcBorders>
            <w:shd w:val="pct15" w:color="auto" w:fill="auto"/>
            <w:hideMark/>
          </w:tcPr>
          <w:p w:rsidR="00925A70" w:rsidRPr="005A1530" w:rsidRDefault="00925A70">
            <w:pPr>
              <w:tabs>
                <w:tab w:val="left" w:pos="9072"/>
              </w:tabs>
              <w:spacing w:line="480" w:lineRule="auto"/>
              <w:jc w:val="both"/>
              <w:rPr>
                <w:rFonts w:asciiTheme="majorHAnsi" w:hAnsiTheme="majorHAnsi" w:cstheme="majorHAnsi"/>
                <w:bCs/>
                <w:sz w:val="22"/>
                <w:szCs w:val="22"/>
              </w:rPr>
            </w:pPr>
            <w:r w:rsidRPr="005A1530">
              <w:rPr>
                <w:rFonts w:asciiTheme="majorHAnsi" w:hAnsiTheme="majorHAnsi" w:cstheme="majorHAnsi"/>
                <w:b/>
                <w:bCs/>
                <w:i/>
                <w:sz w:val="22"/>
                <w:szCs w:val="22"/>
              </w:rPr>
              <w:t>L.p.</w:t>
            </w:r>
          </w:p>
        </w:tc>
        <w:tc>
          <w:tcPr>
            <w:tcW w:w="2824"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480"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Opis przedmiotu zamówienia</w:t>
            </w:r>
          </w:p>
        </w:tc>
        <w:tc>
          <w:tcPr>
            <w:tcW w:w="567"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480"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j.m.</w:t>
            </w:r>
          </w:p>
        </w:tc>
        <w:tc>
          <w:tcPr>
            <w:tcW w:w="709"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480"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Ilość</w:t>
            </w:r>
          </w:p>
        </w:tc>
        <w:tc>
          <w:tcPr>
            <w:tcW w:w="1276"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276"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Cena jedn. netto PLN</w:t>
            </w:r>
          </w:p>
        </w:tc>
        <w:tc>
          <w:tcPr>
            <w:tcW w:w="1559" w:type="dxa"/>
            <w:tcBorders>
              <w:top w:val="single" w:sz="4" w:space="0" w:color="000000"/>
              <w:left w:val="single" w:sz="4" w:space="0" w:color="000000"/>
              <w:bottom w:val="single" w:sz="4" w:space="0" w:color="000000"/>
              <w:right w:val="single" w:sz="4" w:space="0" w:color="000000"/>
            </w:tcBorders>
            <w:shd w:val="pct15" w:color="auto" w:fill="auto"/>
          </w:tcPr>
          <w:p w:rsidR="00925A70" w:rsidRPr="005A1530" w:rsidRDefault="00925A70">
            <w:pPr>
              <w:tabs>
                <w:tab w:val="left" w:pos="9072"/>
              </w:tabs>
              <w:jc w:val="center"/>
              <w:rPr>
                <w:rFonts w:asciiTheme="majorHAnsi" w:hAnsiTheme="majorHAnsi" w:cstheme="majorHAnsi"/>
                <w:b/>
                <w:bCs/>
                <w:i/>
                <w:sz w:val="22"/>
                <w:szCs w:val="22"/>
              </w:rPr>
            </w:pPr>
          </w:p>
          <w:p w:rsidR="00925A70" w:rsidRPr="005A1530" w:rsidRDefault="00925A70">
            <w:pPr>
              <w:tabs>
                <w:tab w:val="left" w:pos="9072"/>
              </w:tabs>
              <w:jc w:val="center"/>
              <w:rPr>
                <w:rFonts w:asciiTheme="majorHAnsi" w:hAnsiTheme="majorHAnsi" w:cstheme="majorHAnsi"/>
                <w:b/>
                <w:bCs/>
                <w:i/>
                <w:sz w:val="22"/>
                <w:szCs w:val="22"/>
              </w:rPr>
            </w:pPr>
            <w:r w:rsidRPr="005A1530">
              <w:rPr>
                <w:rFonts w:asciiTheme="majorHAnsi" w:hAnsiTheme="majorHAnsi" w:cstheme="majorHAnsi"/>
                <w:b/>
                <w:bCs/>
                <w:i/>
                <w:sz w:val="22"/>
                <w:szCs w:val="22"/>
              </w:rPr>
              <w:t>Cena jednostkowa brutto</w:t>
            </w:r>
          </w:p>
          <w:p w:rsidR="00925A70" w:rsidRPr="005A1530" w:rsidRDefault="00925A70">
            <w:pPr>
              <w:tabs>
                <w:tab w:val="left" w:pos="9072"/>
              </w:tabs>
              <w:spacing w:line="480" w:lineRule="auto"/>
              <w:jc w:val="center"/>
              <w:rPr>
                <w:rFonts w:asciiTheme="majorHAnsi" w:hAnsiTheme="majorHAnsi" w:cstheme="majorHAnsi"/>
                <w:b/>
                <w:bCs/>
                <w:i/>
                <w:sz w:val="22"/>
                <w:szCs w:val="22"/>
              </w:rPr>
            </w:pPr>
            <w:r w:rsidRPr="005A1530">
              <w:rPr>
                <w:rFonts w:asciiTheme="majorHAnsi" w:hAnsiTheme="majorHAnsi" w:cstheme="majorHAnsi"/>
                <w:b/>
                <w:bCs/>
                <w:i/>
                <w:sz w:val="22"/>
                <w:szCs w:val="22"/>
              </w:rPr>
              <w:t>PLN</w:t>
            </w:r>
          </w:p>
        </w:tc>
        <w:tc>
          <w:tcPr>
            <w:tcW w:w="992"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276"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Wartość netto PLN</w:t>
            </w:r>
          </w:p>
        </w:tc>
        <w:tc>
          <w:tcPr>
            <w:tcW w:w="851" w:type="dxa"/>
            <w:tcBorders>
              <w:top w:val="single" w:sz="4" w:space="0" w:color="000000"/>
              <w:left w:val="single" w:sz="4" w:space="0" w:color="000000"/>
              <w:bottom w:val="single" w:sz="4" w:space="0" w:color="000000"/>
              <w:right w:val="nil"/>
            </w:tcBorders>
            <w:shd w:val="pct15" w:color="auto" w:fill="auto"/>
            <w:vAlign w:val="center"/>
            <w:hideMark/>
          </w:tcPr>
          <w:p w:rsidR="00925A70" w:rsidRPr="005A1530" w:rsidRDefault="00925A70">
            <w:pPr>
              <w:tabs>
                <w:tab w:val="left" w:pos="9072"/>
              </w:tabs>
              <w:spacing w:line="480" w:lineRule="auto"/>
              <w:jc w:val="center"/>
              <w:rPr>
                <w:rFonts w:asciiTheme="majorHAnsi" w:hAnsiTheme="majorHAnsi" w:cstheme="majorHAnsi"/>
                <w:b/>
                <w:bCs/>
                <w:i/>
                <w:sz w:val="22"/>
                <w:szCs w:val="22"/>
              </w:rPr>
            </w:pPr>
            <w:r w:rsidRPr="005A1530">
              <w:rPr>
                <w:rFonts w:asciiTheme="majorHAnsi" w:hAnsiTheme="majorHAnsi" w:cstheme="majorHAnsi"/>
                <w:b/>
                <w:bCs/>
                <w:i/>
                <w:sz w:val="22"/>
                <w:szCs w:val="22"/>
              </w:rPr>
              <w:t>VAT</w:t>
            </w:r>
          </w:p>
          <w:p w:rsidR="00925A70" w:rsidRPr="005A1530" w:rsidRDefault="00925A70">
            <w:pPr>
              <w:tabs>
                <w:tab w:val="left" w:pos="9072"/>
              </w:tabs>
              <w:spacing w:line="480"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 xml:space="preserve"> %</w:t>
            </w:r>
          </w:p>
        </w:tc>
        <w:tc>
          <w:tcPr>
            <w:tcW w:w="1417" w:type="dxa"/>
            <w:tcBorders>
              <w:top w:val="single" w:sz="4" w:space="0" w:color="000000"/>
              <w:left w:val="single" w:sz="4" w:space="0" w:color="000000"/>
              <w:bottom w:val="single" w:sz="4" w:space="0" w:color="000000"/>
              <w:right w:val="single" w:sz="4" w:space="0" w:color="auto"/>
            </w:tcBorders>
            <w:shd w:val="pct15" w:color="auto" w:fill="auto"/>
            <w:vAlign w:val="center"/>
            <w:hideMark/>
          </w:tcPr>
          <w:p w:rsidR="00925A70" w:rsidRPr="005A1530" w:rsidRDefault="00925A70">
            <w:pPr>
              <w:tabs>
                <w:tab w:val="left" w:pos="9072"/>
              </w:tabs>
              <w:spacing w:line="276" w:lineRule="auto"/>
              <w:jc w:val="center"/>
              <w:rPr>
                <w:rFonts w:asciiTheme="majorHAnsi" w:hAnsiTheme="majorHAnsi" w:cstheme="majorHAnsi"/>
                <w:b/>
                <w:bCs/>
                <w:i/>
                <w:sz w:val="22"/>
                <w:szCs w:val="22"/>
              </w:rPr>
            </w:pPr>
            <w:r w:rsidRPr="005A1530">
              <w:rPr>
                <w:rFonts w:asciiTheme="majorHAnsi" w:hAnsiTheme="majorHAnsi" w:cstheme="majorHAnsi"/>
                <w:b/>
                <w:bCs/>
                <w:i/>
                <w:sz w:val="22"/>
                <w:szCs w:val="22"/>
              </w:rPr>
              <w:t>Wartość brutto</w:t>
            </w:r>
          </w:p>
          <w:p w:rsidR="00925A70" w:rsidRPr="005A1530" w:rsidRDefault="00925A70">
            <w:pPr>
              <w:tabs>
                <w:tab w:val="left" w:pos="9072"/>
              </w:tabs>
              <w:spacing w:line="276" w:lineRule="auto"/>
              <w:jc w:val="center"/>
              <w:rPr>
                <w:rFonts w:asciiTheme="majorHAnsi" w:hAnsiTheme="majorHAnsi" w:cstheme="majorHAnsi"/>
                <w:bCs/>
                <w:sz w:val="22"/>
                <w:szCs w:val="22"/>
              </w:rPr>
            </w:pPr>
            <w:r w:rsidRPr="005A1530">
              <w:rPr>
                <w:rFonts w:asciiTheme="majorHAnsi" w:hAnsiTheme="majorHAnsi" w:cstheme="majorHAnsi"/>
                <w:b/>
                <w:bCs/>
                <w:i/>
                <w:sz w:val="22"/>
                <w:szCs w:val="22"/>
              </w:rPr>
              <w:t>PLN</w:t>
            </w:r>
          </w:p>
        </w:tc>
      </w:tr>
      <w:tr w:rsidR="00925A70" w:rsidRPr="005A1530" w:rsidTr="00925A70">
        <w:trPr>
          <w:trHeight w:val="1647"/>
        </w:trPr>
        <w:tc>
          <w:tcPr>
            <w:tcW w:w="425" w:type="dxa"/>
            <w:tcBorders>
              <w:top w:val="single" w:sz="4" w:space="0" w:color="000000"/>
              <w:left w:val="single" w:sz="4" w:space="0" w:color="000000"/>
              <w:bottom w:val="single" w:sz="4" w:space="0" w:color="auto"/>
              <w:right w:val="nil"/>
            </w:tcBorders>
          </w:tcPr>
          <w:p w:rsidR="00925A70" w:rsidRPr="005A1530" w:rsidRDefault="00925A70">
            <w:pPr>
              <w:tabs>
                <w:tab w:val="left" w:pos="9072"/>
              </w:tabs>
              <w:spacing w:line="480" w:lineRule="auto"/>
              <w:jc w:val="both"/>
              <w:rPr>
                <w:rFonts w:asciiTheme="majorHAnsi" w:hAnsiTheme="majorHAnsi" w:cstheme="majorHAnsi"/>
                <w:bCs/>
                <w:sz w:val="22"/>
                <w:szCs w:val="22"/>
              </w:rPr>
            </w:pPr>
          </w:p>
          <w:p w:rsidR="00925A70" w:rsidRPr="005A1530" w:rsidRDefault="00925A70">
            <w:pPr>
              <w:tabs>
                <w:tab w:val="left" w:pos="9072"/>
              </w:tabs>
              <w:spacing w:line="480" w:lineRule="auto"/>
              <w:jc w:val="both"/>
              <w:rPr>
                <w:rFonts w:asciiTheme="majorHAnsi" w:hAnsiTheme="majorHAnsi" w:cstheme="majorHAnsi"/>
                <w:bCs/>
                <w:sz w:val="22"/>
                <w:szCs w:val="22"/>
              </w:rPr>
            </w:pPr>
            <w:r w:rsidRPr="005A1530">
              <w:rPr>
                <w:rFonts w:asciiTheme="majorHAnsi" w:hAnsiTheme="majorHAnsi" w:cstheme="majorHAnsi"/>
                <w:bCs/>
                <w:sz w:val="22"/>
                <w:szCs w:val="22"/>
              </w:rPr>
              <w:t xml:space="preserve"> 1.</w:t>
            </w:r>
          </w:p>
        </w:tc>
        <w:tc>
          <w:tcPr>
            <w:tcW w:w="2824" w:type="dxa"/>
            <w:tcBorders>
              <w:top w:val="single" w:sz="4" w:space="0" w:color="auto"/>
              <w:left w:val="single" w:sz="4" w:space="0" w:color="auto"/>
              <w:bottom w:val="single" w:sz="4" w:space="0" w:color="auto"/>
              <w:right w:val="single" w:sz="4" w:space="0" w:color="auto"/>
            </w:tcBorders>
            <w:vAlign w:val="center"/>
            <w:hideMark/>
          </w:tcPr>
          <w:p w:rsidR="00FE62B7" w:rsidRDefault="005A1530" w:rsidP="00FE62B7">
            <w:pPr>
              <w:tabs>
                <w:tab w:val="left" w:pos="9072"/>
              </w:tabs>
              <w:rPr>
                <w:rFonts w:asciiTheme="majorHAnsi" w:hAnsiTheme="majorHAnsi" w:cstheme="majorHAnsi"/>
                <w:b/>
                <w:bCs/>
                <w:sz w:val="22"/>
                <w:szCs w:val="22"/>
              </w:rPr>
            </w:pPr>
            <w:r w:rsidRPr="005A1530">
              <w:rPr>
                <w:rFonts w:asciiTheme="majorHAnsi" w:hAnsiTheme="majorHAnsi" w:cstheme="majorHAnsi"/>
                <w:b/>
                <w:bCs/>
                <w:sz w:val="22"/>
                <w:szCs w:val="22"/>
              </w:rPr>
              <w:t>Kardiomonitor na salę intensywnego nadzoru, wyposażony w 12- odprowadzeniowy zestaw EKG</w:t>
            </w:r>
          </w:p>
          <w:p w:rsidR="005A1530" w:rsidRPr="005A1530" w:rsidRDefault="005A1530" w:rsidP="00FE62B7">
            <w:pPr>
              <w:tabs>
                <w:tab w:val="left" w:pos="9072"/>
              </w:tabs>
              <w:rPr>
                <w:rFonts w:asciiTheme="majorHAnsi" w:hAnsiTheme="majorHAnsi" w:cstheme="majorHAnsi"/>
                <w:b/>
                <w:bCs/>
                <w:sz w:val="22"/>
                <w:szCs w:val="22"/>
              </w:rPr>
            </w:pPr>
            <w:r w:rsidRPr="005A1530">
              <w:rPr>
                <w:rFonts w:asciiTheme="majorHAnsi" w:hAnsiTheme="majorHAnsi" w:cstheme="majorHAnsi"/>
                <w:b/>
                <w:bCs/>
                <w:sz w:val="22"/>
                <w:szCs w:val="22"/>
              </w:rPr>
              <w:t xml:space="preserve"> i uchwyt ścienny</w:t>
            </w:r>
          </w:p>
          <w:p w:rsidR="00925A70" w:rsidRPr="005A1530" w:rsidRDefault="00925A70" w:rsidP="00925A70">
            <w:pPr>
              <w:tabs>
                <w:tab w:val="left" w:pos="9072"/>
              </w:tabs>
              <w:jc w:val="both"/>
              <w:rPr>
                <w:rFonts w:asciiTheme="majorHAnsi" w:hAnsiTheme="majorHAnsi" w:cstheme="majorHAnsi"/>
                <w:bCs/>
                <w:sz w:val="22"/>
                <w:szCs w:val="22"/>
              </w:rPr>
            </w:pPr>
            <w:r w:rsidRPr="005A1530">
              <w:rPr>
                <w:rFonts w:asciiTheme="majorHAnsi" w:hAnsiTheme="majorHAnsi" w:cstheme="majorHAnsi"/>
                <w:bCs/>
                <w:sz w:val="22"/>
                <w:szCs w:val="22"/>
              </w:rPr>
              <w:t>Nazwa:…………………………….……</w:t>
            </w:r>
          </w:p>
          <w:p w:rsidR="00925A70" w:rsidRPr="005A1530" w:rsidRDefault="00925A70" w:rsidP="00925A70">
            <w:pPr>
              <w:tabs>
                <w:tab w:val="left" w:pos="9072"/>
              </w:tabs>
              <w:jc w:val="both"/>
              <w:rPr>
                <w:rFonts w:asciiTheme="majorHAnsi" w:hAnsiTheme="majorHAnsi" w:cstheme="majorHAnsi"/>
                <w:bCs/>
                <w:sz w:val="22"/>
                <w:szCs w:val="22"/>
              </w:rPr>
            </w:pPr>
            <w:r w:rsidRPr="005A1530">
              <w:rPr>
                <w:rFonts w:asciiTheme="majorHAnsi" w:hAnsiTheme="majorHAnsi" w:cstheme="majorHAnsi"/>
                <w:bCs/>
                <w:sz w:val="22"/>
                <w:szCs w:val="22"/>
              </w:rPr>
              <w:t>Typ: ……………………………………..</w:t>
            </w:r>
          </w:p>
          <w:p w:rsidR="00925A70" w:rsidRPr="005A1530" w:rsidRDefault="00925A70" w:rsidP="00925A70">
            <w:pPr>
              <w:tabs>
                <w:tab w:val="left" w:pos="9072"/>
              </w:tabs>
              <w:jc w:val="both"/>
              <w:rPr>
                <w:rFonts w:asciiTheme="majorHAnsi" w:hAnsiTheme="majorHAnsi" w:cstheme="majorHAnsi"/>
                <w:bCs/>
                <w:sz w:val="22"/>
                <w:szCs w:val="22"/>
              </w:rPr>
            </w:pPr>
            <w:r w:rsidRPr="005A1530">
              <w:rPr>
                <w:rFonts w:asciiTheme="majorHAnsi" w:hAnsiTheme="majorHAnsi" w:cstheme="majorHAnsi"/>
                <w:bCs/>
                <w:sz w:val="22"/>
                <w:szCs w:val="22"/>
              </w:rPr>
              <w:t>Model: …………………………………</w:t>
            </w:r>
          </w:p>
          <w:p w:rsidR="00925A70" w:rsidRPr="005A1530" w:rsidRDefault="00925A70" w:rsidP="00925A70">
            <w:pPr>
              <w:tabs>
                <w:tab w:val="left" w:pos="9072"/>
              </w:tabs>
              <w:jc w:val="both"/>
              <w:rPr>
                <w:rFonts w:asciiTheme="majorHAnsi" w:hAnsiTheme="majorHAnsi" w:cstheme="majorHAnsi"/>
                <w:bCs/>
                <w:sz w:val="22"/>
                <w:szCs w:val="22"/>
              </w:rPr>
            </w:pPr>
            <w:r w:rsidRPr="005A1530">
              <w:rPr>
                <w:rFonts w:asciiTheme="majorHAnsi" w:hAnsiTheme="majorHAnsi" w:cstheme="majorHAnsi"/>
                <w:bCs/>
                <w:sz w:val="22"/>
                <w:szCs w:val="22"/>
              </w:rPr>
              <w:t>Producent: ……………………………</w:t>
            </w:r>
          </w:p>
          <w:p w:rsidR="00925A70" w:rsidRPr="005A1530" w:rsidRDefault="00925A70" w:rsidP="00925A70">
            <w:pPr>
              <w:tabs>
                <w:tab w:val="left" w:pos="9072"/>
              </w:tabs>
              <w:jc w:val="both"/>
              <w:rPr>
                <w:rFonts w:asciiTheme="majorHAnsi" w:hAnsiTheme="majorHAnsi" w:cstheme="majorHAnsi"/>
                <w:bCs/>
                <w:sz w:val="22"/>
                <w:szCs w:val="22"/>
              </w:rPr>
            </w:pPr>
            <w:r w:rsidRPr="005A1530">
              <w:rPr>
                <w:rFonts w:asciiTheme="majorHAnsi" w:hAnsiTheme="majorHAnsi" w:cstheme="majorHAnsi"/>
                <w:bCs/>
                <w:sz w:val="22"/>
                <w:szCs w:val="22"/>
              </w:rPr>
              <w:t>Kraj………………………</w:t>
            </w:r>
          </w:p>
          <w:p w:rsidR="00925A70" w:rsidRPr="005A1530" w:rsidRDefault="00925A70" w:rsidP="00925A70">
            <w:pPr>
              <w:tabs>
                <w:tab w:val="left" w:pos="9072"/>
              </w:tabs>
              <w:jc w:val="both"/>
              <w:rPr>
                <w:rFonts w:asciiTheme="majorHAnsi" w:hAnsiTheme="majorHAnsi" w:cstheme="majorHAnsi"/>
                <w:bCs/>
                <w:color w:val="FF0000"/>
                <w:sz w:val="22"/>
                <w:szCs w:val="22"/>
              </w:rPr>
            </w:pPr>
            <w:r w:rsidRPr="005A1530">
              <w:rPr>
                <w:rFonts w:asciiTheme="majorHAnsi" w:eastAsia="Calibri" w:hAnsiTheme="majorHAnsi" w:cstheme="majorHAnsi"/>
                <w:sz w:val="22"/>
                <w:szCs w:val="22"/>
              </w:rPr>
              <w:t>Urządzenie fabrycznie nowe. Rok produkcji (nie starszy niż 2025) ……………………………………</w:t>
            </w:r>
          </w:p>
        </w:tc>
        <w:tc>
          <w:tcPr>
            <w:tcW w:w="567" w:type="dxa"/>
            <w:tcBorders>
              <w:top w:val="single" w:sz="4" w:space="0" w:color="auto"/>
              <w:left w:val="single" w:sz="4" w:space="0" w:color="auto"/>
              <w:bottom w:val="single" w:sz="4" w:space="0" w:color="auto"/>
              <w:right w:val="single" w:sz="4" w:space="0" w:color="auto"/>
            </w:tcBorders>
            <w:vAlign w:val="center"/>
            <w:hideMark/>
          </w:tcPr>
          <w:p w:rsidR="00925A70" w:rsidRPr="003C7977" w:rsidRDefault="00925A70">
            <w:pPr>
              <w:tabs>
                <w:tab w:val="left" w:pos="9072"/>
              </w:tabs>
              <w:rPr>
                <w:rFonts w:asciiTheme="majorHAnsi" w:hAnsiTheme="majorHAnsi" w:cstheme="majorHAnsi"/>
                <w:bCs/>
                <w:sz w:val="22"/>
                <w:szCs w:val="22"/>
              </w:rPr>
            </w:pPr>
            <w:r w:rsidRPr="003C7977">
              <w:rPr>
                <w:rFonts w:asciiTheme="majorHAnsi" w:hAnsiTheme="majorHAnsi" w:cstheme="majorHAnsi"/>
                <w:bCs/>
                <w:sz w:val="22"/>
                <w:szCs w:val="22"/>
              </w:rPr>
              <w:t xml:space="preserve">  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925A70" w:rsidRPr="003C7977" w:rsidRDefault="00925A70">
            <w:pPr>
              <w:tabs>
                <w:tab w:val="left" w:pos="9072"/>
              </w:tabs>
              <w:jc w:val="center"/>
              <w:rPr>
                <w:rFonts w:asciiTheme="majorHAnsi" w:hAnsiTheme="majorHAnsi" w:cstheme="majorHAnsi"/>
                <w:bCs/>
                <w:sz w:val="22"/>
                <w:szCs w:val="22"/>
              </w:rPr>
            </w:pPr>
            <w:r w:rsidRPr="003C7977">
              <w:rPr>
                <w:rFonts w:asciiTheme="majorHAnsi" w:hAnsiTheme="majorHAnsi" w:cstheme="majorHAnsi"/>
                <w:bCs/>
                <w:sz w:val="22"/>
                <w:szCs w:val="22"/>
              </w:rPr>
              <w:t>8</w:t>
            </w:r>
          </w:p>
        </w:tc>
        <w:tc>
          <w:tcPr>
            <w:tcW w:w="1276" w:type="dxa"/>
            <w:tcBorders>
              <w:top w:val="single" w:sz="4" w:space="0" w:color="auto"/>
              <w:left w:val="single" w:sz="4" w:space="0" w:color="auto"/>
              <w:bottom w:val="single" w:sz="4" w:space="0" w:color="auto"/>
              <w:right w:val="single" w:sz="4" w:space="0" w:color="auto"/>
            </w:tcBorders>
            <w:vAlign w:val="center"/>
          </w:tcPr>
          <w:p w:rsidR="00925A70" w:rsidRPr="005A1530" w:rsidRDefault="00925A70">
            <w:pPr>
              <w:tabs>
                <w:tab w:val="left" w:pos="9072"/>
              </w:tabs>
              <w:jc w:val="both"/>
              <w:rPr>
                <w:rFonts w:asciiTheme="majorHAnsi" w:hAnsiTheme="majorHAnsi" w:cstheme="majorHAnsi"/>
                <w:bCs/>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925A70" w:rsidRPr="005A1530" w:rsidRDefault="00925A70">
            <w:pPr>
              <w:tabs>
                <w:tab w:val="left" w:pos="9072"/>
              </w:tabs>
              <w:jc w:val="both"/>
              <w:rPr>
                <w:rFonts w:asciiTheme="majorHAnsi" w:hAnsiTheme="majorHAnsi" w:cstheme="majorHAnsi"/>
                <w:bCs/>
                <w:color w:val="FF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25A70" w:rsidRPr="005A1530" w:rsidRDefault="00925A70">
            <w:pPr>
              <w:tabs>
                <w:tab w:val="left" w:pos="9072"/>
              </w:tabs>
              <w:jc w:val="both"/>
              <w:rPr>
                <w:rFonts w:asciiTheme="majorHAnsi" w:hAnsiTheme="majorHAnsi" w:cstheme="majorHAnsi"/>
                <w:bCs/>
                <w:sz w:val="22"/>
                <w:szCs w:val="22"/>
              </w:rPr>
            </w:pPr>
          </w:p>
        </w:tc>
        <w:tc>
          <w:tcPr>
            <w:tcW w:w="851" w:type="dxa"/>
            <w:tcBorders>
              <w:top w:val="single" w:sz="4" w:space="0" w:color="000000"/>
              <w:left w:val="single" w:sz="4" w:space="0" w:color="000000"/>
              <w:bottom w:val="single" w:sz="4" w:space="0" w:color="auto"/>
              <w:right w:val="nil"/>
            </w:tcBorders>
            <w:vAlign w:val="center"/>
          </w:tcPr>
          <w:p w:rsidR="00925A70" w:rsidRPr="005A1530" w:rsidRDefault="00925A70">
            <w:pPr>
              <w:tabs>
                <w:tab w:val="left" w:pos="9072"/>
              </w:tabs>
              <w:jc w:val="both"/>
              <w:rPr>
                <w:rFonts w:asciiTheme="majorHAnsi" w:hAnsiTheme="majorHAnsi" w:cstheme="majorHAnsi"/>
                <w:bCs/>
                <w:iCs/>
                <w:sz w:val="22"/>
                <w:szCs w:val="22"/>
              </w:rPr>
            </w:pPr>
          </w:p>
        </w:tc>
        <w:tc>
          <w:tcPr>
            <w:tcW w:w="1417" w:type="dxa"/>
            <w:tcBorders>
              <w:top w:val="single" w:sz="4" w:space="0" w:color="auto"/>
              <w:left w:val="single" w:sz="4" w:space="0" w:color="auto"/>
              <w:bottom w:val="single" w:sz="4" w:space="0" w:color="auto"/>
              <w:right w:val="single" w:sz="8" w:space="0" w:color="auto"/>
            </w:tcBorders>
            <w:vAlign w:val="center"/>
          </w:tcPr>
          <w:p w:rsidR="00925A70" w:rsidRPr="005A1530" w:rsidRDefault="00925A70">
            <w:pPr>
              <w:tabs>
                <w:tab w:val="left" w:pos="9072"/>
              </w:tabs>
              <w:jc w:val="both"/>
              <w:rPr>
                <w:rFonts w:asciiTheme="majorHAnsi" w:hAnsiTheme="majorHAnsi" w:cstheme="majorHAnsi"/>
                <w:bCs/>
                <w:sz w:val="22"/>
                <w:szCs w:val="22"/>
              </w:rPr>
            </w:pPr>
          </w:p>
        </w:tc>
      </w:tr>
      <w:tr w:rsidR="00925A70" w:rsidRPr="005A1530" w:rsidTr="00925A70">
        <w:trPr>
          <w:trHeight w:val="701"/>
        </w:trPr>
        <w:tc>
          <w:tcPr>
            <w:tcW w:w="425" w:type="dxa"/>
            <w:tcBorders>
              <w:top w:val="single" w:sz="4" w:space="0" w:color="000000"/>
              <w:left w:val="single" w:sz="4" w:space="0" w:color="000000"/>
              <w:bottom w:val="single" w:sz="4" w:space="0" w:color="000000"/>
              <w:right w:val="nil"/>
            </w:tcBorders>
            <w:hideMark/>
          </w:tcPr>
          <w:p w:rsidR="00925A70" w:rsidRPr="005A1530" w:rsidRDefault="00925A70">
            <w:pPr>
              <w:tabs>
                <w:tab w:val="left" w:pos="9072"/>
              </w:tabs>
              <w:spacing w:line="480" w:lineRule="auto"/>
              <w:jc w:val="both"/>
              <w:rPr>
                <w:rFonts w:asciiTheme="majorHAnsi" w:hAnsiTheme="majorHAnsi" w:cstheme="majorHAnsi"/>
                <w:bCs/>
                <w:sz w:val="22"/>
                <w:szCs w:val="22"/>
              </w:rPr>
            </w:pPr>
            <w:r w:rsidRPr="005A1530">
              <w:rPr>
                <w:rFonts w:asciiTheme="majorHAnsi" w:hAnsiTheme="majorHAnsi" w:cstheme="majorHAnsi"/>
                <w:bCs/>
                <w:sz w:val="22"/>
                <w:szCs w:val="22"/>
              </w:rPr>
              <w:t xml:space="preserve">2. </w:t>
            </w:r>
          </w:p>
        </w:tc>
        <w:tc>
          <w:tcPr>
            <w:tcW w:w="6935" w:type="dxa"/>
            <w:gridSpan w:val="5"/>
            <w:tcBorders>
              <w:top w:val="single" w:sz="4" w:space="0" w:color="auto"/>
              <w:left w:val="single" w:sz="4" w:space="0" w:color="auto"/>
              <w:bottom w:val="single" w:sz="4" w:space="0" w:color="auto"/>
              <w:right w:val="single" w:sz="4" w:space="0" w:color="auto"/>
            </w:tcBorders>
            <w:vAlign w:val="center"/>
            <w:hideMark/>
          </w:tcPr>
          <w:p w:rsidR="00925A70" w:rsidRPr="005A1530" w:rsidRDefault="00925A70">
            <w:pPr>
              <w:tabs>
                <w:tab w:val="left" w:pos="9072"/>
              </w:tabs>
              <w:jc w:val="both"/>
              <w:rPr>
                <w:rFonts w:asciiTheme="majorHAnsi" w:hAnsiTheme="majorHAnsi" w:cstheme="majorHAnsi"/>
                <w:bCs/>
                <w:color w:val="FF0000"/>
                <w:sz w:val="22"/>
                <w:szCs w:val="22"/>
              </w:rPr>
            </w:pPr>
            <w:r w:rsidRPr="005A1530">
              <w:rPr>
                <w:rFonts w:asciiTheme="majorHAnsi" w:hAnsiTheme="majorHAnsi" w:cstheme="majorHAnsi"/>
                <w:b/>
                <w:bCs/>
                <w:sz w:val="22"/>
                <w:szCs w:val="22"/>
              </w:rPr>
              <w:t>Razem:</w:t>
            </w:r>
          </w:p>
        </w:tc>
        <w:tc>
          <w:tcPr>
            <w:tcW w:w="992" w:type="dxa"/>
            <w:tcBorders>
              <w:top w:val="single" w:sz="4" w:space="0" w:color="auto"/>
              <w:left w:val="single" w:sz="4" w:space="0" w:color="auto"/>
              <w:bottom w:val="single" w:sz="4" w:space="0" w:color="auto"/>
              <w:right w:val="single" w:sz="4" w:space="0" w:color="auto"/>
            </w:tcBorders>
            <w:vAlign w:val="center"/>
          </w:tcPr>
          <w:p w:rsidR="00925A70" w:rsidRPr="005A1530" w:rsidRDefault="00925A70">
            <w:pPr>
              <w:tabs>
                <w:tab w:val="left" w:pos="9072"/>
              </w:tabs>
              <w:jc w:val="both"/>
              <w:rPr>
                <w:rFonts w:asciiTheme="majorHAnsi" w:hAnsiTheme="majorHAnsi" w:cstheme="majorHAnsi"/>
                <w:bCs/>
                <w:sz w:val="22"/>
                <w:szCs w:val="22"/>
              </w:rPr>
            </w:pPr>
          </w:p>
        </w:tc>
        <w:tc>
          <w:tcPr>
            <w:tcW w:w="851" w:type="dxa"/>
            <w:tcBorders>
              <w:top w:val="single" w:sz="4" w:space="0" w:color="000000"/>
              <w:left w:val="single" w:sz="4" w:space="0" w:color="000000"/>
              <w:bottom w:val="single" w:sz="4" w:space="0" w:color="000000"/>
              <w:right w:val="nil"/>
            </w:tcBorders>
            <w:vAlign w:val="center"/>
            <w:hideMark/>
          </w:tcPr>
          <w:p w:rsidR="00925A70" w:rsidRPr="005A1530" w:rsidRDefault="00925A70">
            <w:pPr>
              <w:tabs>
                <w:tab w:val="left" w:pos="9072"/>
              </w:tabs>
              <w:jc w:val="both"/>
              <w:rPr>
                <w:rFonts w:asciiTheme="majorHAnsi" w:hAnsiTheme="majorHAnsi" w:cstheme="majorHAnsi"/>
                <w:bCs/>
                <w:iCs/>
                <w:sz w:val="22"/>
                <w:szCs w:val="22"/>
              </w:rPr>
            </w:pPr>
            <w:r w:rsidRPr="005A1530">
              <w:rPr>
                <w:rFonts w:asciiTheme="majorHAnsi" w:hAnsiTheme="majorHAnsi" w:cstheme="majorHAnsi"/>
                <w:bCs/>
                <w:iCs/>
                <w:sz w:val="22"/>
                <w:szCs w:val="22"/>
              </w:rPr>
              <w:t xml:space="preserve">        x</w:t>
            </w:r>
          </w:p>
        </w:tc>
        <w:tc>
          <w:tcPr>
            <w:tcW w:w="1417" w:type="dxa"/>
            <w:tcBorders>
              <w:top w:val="single" w:sz="4" w:space="0" w:color="auto"/>
              <w:left w:val="single" w:sz="4" w:space="0" w:color="auto"/>
              <w:bottom w:val="single" w:sz="4" w:space="0" w:color="auto"/>
              <w:right w:val="single" w:sz="8" w:space="0" w:color="auto"/>
            </w:tcBorders>
            <w:vAlign w:val="center"/>
          </w:tcPr>
          <w:p w:rsidR="00925A70" w:rsidRPr="005A1530" w:rsidRDefault="00925A70">
            <w:pPr>
              <w:tabs>
                <w:tab w:val="left" w:pos="9072"/>
              </w:tabs>
              <w:jc w:val="both"/>
              <w:rPr>
                <w:rFonts w:asciiTheme="majorHAnsi" w:hAnsiTheme="majorHAnsi" w:cstheme="majorHAnsi"/>
                <w:bCs/>
                <w:sz w:val="22"/>
                <w:szCs w:val="22"/>
              </w:rPr>
            </w:pPr>
          </w:p>
        </w:tc>
      </w:tr>
    </w:tbl>
    <w:p w:rsidR="00925A70" w:rsidRPr="005A1530" w:rsidRDefault="00925A70" w:rsidP="00925A70">
      <w:pPr>
        <w:spacing w:after="60" w:line="276" w:lineRule="auto"/>
        <w:jc w:val="both"/>
        <w:rPr>
          <w:rFonts w:asciiTheme="majorHAnsi" w:eastAsia="Batang" w:hAnsiTheme="majorHAnsi" w:cstheme="majorHAnsi"/>
          <w:b/>
          <w:bCs/>
          <w:sz w:val="22"/>
          <w:szCs w:val="22"/>
          <w:lang w:eastAsia="x-none"/>
        </w:rPr>
      </w:pPr>
    </w:p>
    <w:p w:rsidR="00925A70" w:rsidRPr="005A1530" w:rsidRDefault="00925A70" w:rsidP="00925A70">
      <w:pPr>
        <w:spacing w:after="60" w:line="276" w:lineRule="auto"/>
        <w:ind w:left="-709"/>
        <w:jc w:val="both"/>
        <w:rPr>
          <w:rFonts w:asciiTheme="majorHAnsi" w:eastAsia="Batang" w:hAnsiTheme="majorHAnsi" w:cstheme="majorHAnsi"/>
          <w:b/>
          <w:bCs/>
          <w:sz w:val="22"/>
          <w:szCs w:val="22"/>
          <w:lang w:eastAsia="x-none"/>
        </w:rPr>
      </w:pPr>
      <w:r w:rsidRPr="005A1530">
        <w:rPr>
          <w:rFonts w:asciiTheme="majorHAnsi" w:eastAsia="Batang" w:hAnsiTheme="majorHAnsi" w:cstheme="majorHAnsi"/>
          <w:b/>
          <w:bCs/>
          <w:sz w:val="22"/>
          <w:szCs w:val="22"/>
          <w:lang w:eastAsia="x-none"/>
        </w:rPr>
        <w:t>UWAGA!</w:t>
      </w:r>
    </w:p>
    <w:p w:rsidR="00925A70" w:rsidRPr="005A1530" w:rsidRDefault="00925A70" w:rsidP="00925A70">
      <w:pPr>
        <w:spacing w:after="60" w:line="276" w:lineRule="auto"/>
        <w:ind w:left="-709"/>
        <w:jc w:val="both"/>
        <w:rPr>
          <w:rFonts w:asciiTheme="majorHAnsi" w:eastAsia="Batang" w:hAnsiTheme="majorHAnsi" w:cstheme="majorHAnsi"/>
          <w:bCs/>
          <w:sz w:val="22"/>
          <w:szCs w:val="22"/>
          <w:lang w:eastAsia="x-none"/>
        </w:rPr>
      </w:pPr>
      <w:r w:rsidRPr="005A1530">
        <w:rPr>
          <w:rFonts w:asciiTheme="majorHAnsi" w:eastAsia="Batang" w:hAnsiTheme="majorHAnsi" w:cstheme="majorHAnsi"/>
          <w:bCs/>
          <w:sz w:val="22"/>
          <w:szCs w:val="22"/>
          <w:lang w:eastAsia="x-none"/>
        </w:rPr>
        <w:t>Jeżeli na przedmiot zamówienia składają się elementy o różnej stawce podatku VAT należy w tabeli powyżej wyszczególnić je odrębnie.</w:t>
      </w:r>
    </w:p>
    <w:p w:rsidR="00925A70" w:rsidRPr="005A1530" w:rsidRDefault="00925A70" w:rsidP="00925A70">
      <w:pPr>
        <w:ind w:left="-709"/>
        <w:rPr>
          <w:rFonts w:asciiTheme="majorHAnsi" w:hAnsiTheme="majorHAnsi" w:cstheme="majorHAnsi"/>
          <w:sz w:val="22"/>
          <w:szCs w:val="22"/>
        </w:rPr>
      </w:pPr>
    </w:p>
    <w:p w:rsidR="00925A70" w:rsidRPr="005A1530" w:rsidRDefault="00925A70" w:rsidP="00925A70">
      <w:pPr>
        <w:ind w:left="-709"/>
        <w:rPr>
          <w:rFonts w:asciiTheme="majorHAnsi" w:hAnsiTheme="majorHAnsi" w:cstheme="majorHAnsi"/>
          <w:color w:val="FF0000"/>
          <w:sz w:val="22"/>
          <w:szCs w:val="22"/>
        </w:rPr>
      </w:pPr>
      <w:r w:rsidRPr="005A1530">
        <w:rPr>
          <w:rFonts w:asciiTheme="majorHAnsi" w:hAnsiTheme="majorHAnsi" w:cstheme="majorHAnsi"/>
          <w:b/>
          <w:sz w:val="22"/>
          <w:szCs w:val="22"/>
        </w:rPr>
        <w:t>Termin dostawy</w:t>
      </w:r>
      <w:r w:rsidRPr="003C7977">
        <w:rPr>
          <w:rFonts w:asciiTheme="majorHAnsi" w:hAnsiTheme="majorHAnsi" w:cstheme="majorHAnsi"/>
          <w:b/>
          <w:sz w:val="22"/>
          <w:szCs w:val="22"/>
        </w:rPr>
        <w:t>:</w:t>
      </w:r>
      <w:r w:rsidRPr="003C7977">
        <w:rPr>
          <w:rFonts w:asciiTheme="majorHAnsi" w:hAnsiTheme="majorHAnsi" w:cstheme="majorHAnsi"/>
          <w:sz w:val="22"/>
          <w:szCs w:val="22"/>
        </w:rPr>
        <w:t xml:space="preserve"> </w:t>
      </w:r>
      <w:r w:rsidR="00CA1B8F">
        <w:rPr>
          <w:rFonts w:asciiTheme="majorHAnsi" w:hAnsiTheme="majorHAnsi" w:cstheme="majorHAnsi"/>
          <w:sz w:val="22"/>
          <w:szCs w:val="22"/>
        </w:rPr>
        <w:t xml:space="preserve"> do 10 </w:t>
      </w:r>
      <w:r w:rsidRPr="003C7977">
        <w:rPr>
          <w:rFonts w:asciiTheme="majorHAnsi" w:hAnsiTheme="majorHAnsi" w:cstheme="majorHAnsi"/>
          <w:sz w:val="22"/>
          <w:szCs w:val="22"/>
        </w:rPr>
        <w:t>tygodni</w:t>
      </w:r>
      <w:r w:rsidR="00CA1B8F">
        <w:rPr>
          <w:rFonts w:asciiTheme="majorHAnsi" w:hAnsiTheme="majorHAnsi" w:cstheme="majorHAnsi"/>
          <w:sz w:val="22"/>
          <w:szCs w:val="22"/>
        </w:rPr>
        <w:t xml:space="preserve"> od podpisania umowy</w:t>
      </w:r>
      <w:bookmarkStart w:id="0" w:name="_GoBack"/>
      <w:bookmarkEnd w:id="0"/>
      <w:r w:rsidRPr="003C7977">
        <w:rPr>
          <w:rFonts w:asciiTheme="majorHAnsi" w:hAnsiTheme="majorHAnsi" w:cstheme="majorHAnsi"/>
          <w:sz w:val="22"/>
          <w:szCs w:val="22"/>
        </w:rPr>
        <w:t xml:space="preserve"> .</w:t>
      </w:r>
    </w:p>
    <w:p w:rsidR="00925A70" w:rsidRPr="005A1530" w:rsidRDefault="00925A70" w:rsidP="00925A70">
      <w:pPr>
        <w:ind w:left="-709"/>
        <w:rPr>
          <w:rFonts w:asciiTheme="majorHAnsi" w:hAnsiTheme="majorHAnsi" w:cstheme="majorHAnsi"/>
          <w:color w:val="FF0000"/>
          <w:sz w:val="22"/>
          <w:szCs w:val="22"/>
        </w:rPr>
      </w:pPr>
    </w:p>
    <w:p w:rsidR="00925A70" w:rsidRPr="005A1530" w:rsidRDefault="00925A70" w:rsidP="00925A70">
      <w:pPr>
        <w:ind w:left="-709"/>
        <w:rPr>
          <w:rFonts w:asciiTheme="majorHAnsi" w:hAnsiTheme="majorHAnsi" w:cstheme="majorHAnsi"/>
          <w:sz w:val="22"/>
          <w:szCs w:val="22"/>
        </w:rPr>
      </w:pPr>
      <w:r w:rsidRPr="005A1530">
        <w:rPr>
          <w:rFonts w:asciiTheme="majorHAnsi" w:hAnsiTheme="majorHAnsi" w:cstheme="majorHAnsi"/>
          <w:b/>
          <w:sz w:val="22"/>
          <w:szCs w:val="22"/>
        </w:rPr>
        <w:t>Osoba do kontaktu</w:t>
      </w:r>
      <w:r w:rsidRPr="005A1530">
        <w:rPr>
          <w:rFonts w:asciiTheme="majorHAnsi" w:hAnsiTheme="majorHAnsi" w:cstheme="majorHAnsi"/>
          <w:sz w:val="22"/>
          <w:szCs w:val="22"/>
        </w:rPr>
        <w:t>: …………………………………</w:t>
      </w:r>
    </w:p>
    <w:p w:rsidR="00925A70" w:rsidRPr="005A1530" w:rsidRDefault="00925A70" w:rsidP="00925A70">
      <w:pPr>
        <w:ind w:left="-709"/>
        <w:rPr>
          <w:rFonts w:asciiTheme="majorHAnsi" w:hAnsiTheme="majorHAnsi" w:cstheme="majorHAnsi"/>
          <w:sz w:val="22"/>
          <w:szCs w:val="22"/>
        </w:rPr>
      </w:pPr>
    </w:p>
    <w:p w:rsidR="00925A70" w:rsidRPr="005A1530" w:rsidRDefault="00925A70" w:rsidP="00925A70">
      <w:pPr>
        <w:ind w:left="-709"/>
        <w:rPr>
          <w:rFonts w:asciiTheme="majorHAnsi" w:hAnsiTheme="majorHAnsi" w:cstheme="majorHAnsi"/>
          <w:sz w:val="22"/>
          <w:szCs w:val="22"/>
        </w:rPr>
      </w:pPr>
      <w:r w:rsidRPr="005A1530">
        <w:rPr>
          <w:rFonts w:asciiTheme="majorHAnsi" w:hAnsiTheme="majorHAnsi" w:cstheme="majorHAnsi"/>
          <w:b/>
          <w:sz w:val="22"/>
          <w:szCs w:val="22"/>
        </w:rPr>
        <w:t>Adres e-mail:</w:t>
      </w:r>
      <w:r w:rsidRPr="005A1530">
        <w:rPr>
          <w:rFonts w:asciiTheme="majorHAnsi" w:hAnsiTheme="majorHAnsi" w:cstheme="majorHAnsi"/>
          <w:sz w:val="22"/>
          <w:szCs w:val="22"/>
        </w:rPr>
        <w:t xml:space="preserve"> ……………………………………..</w:t>
      </w:r>
    </w:p>
    <w:p w:rsidR="00925A70" w:rsidRPr="005A1530" w:rsidRDefault="00925A70" w:rsidP="00925A70">
      <w:pPr>
        <w:shd w:val="clear" w:color="auto" w:fill="FFFFFF"/>
        <w:jc w:val="center"/>
        <w:rPr>
          <w:rFonts w:asciiTheme="majorHAnsi" w:eastAsia="Calibri" w:hAnsiTheme="majorHAnsi" w:cstheme="majorHAnsi"/>
          <w:b/>
          <w:bCs/>
          <w:sz w:val="22"/>
          <w:szCs w:val="22"/>
          <w:lang w:eastAsia="ar-SA"/>
        </w:rPr>
      </w:pPr>
      <w:r w:rsidRPr="005A1530">
        <w:rPr>
          <w:rFonts w:asciiTheme="majorHAnsi" w:eastAsia="Calibri" w:hAnsiTheme="majorHAnsi" w:cstheme="majorHAnsi"/>
          <w:b/>
          <w:bCs/>
          <w:sz w:val="22"/>
          <w:szCs w:val="22"/>
          <w:lang w:eastAsia="ar-SA"/>
        </w:rPr>
        <w:t>PARAMETRY TECHNICZNE WYMAGANE  I OFEROWANE</w:t>
      </w:r>
    </w:p>
    <w:p w:rsidR="00925A70" w:rsidRPr="005A1530" w:rsidRDefault="00925A70" w:rsidP="00925A70">
      <w:pPr>
        <w:shd w:val="clear" w:color="auto" w:fill="FFFFFF"/>
        <w:jc w:val="center"/>
        <w:rPr>
          <w:rFonts w:asciiTheme="majorHAnsi" w:eastAsia="Calibri" w:hAnsiTheme="majorHAnsi" w:cstheme="majorHAnsi"/>
          <w:b/>
          <w:bCs/>
          <w:sz w:val="22"/>
          <w:szCs w:val="22"/>
          <w:lang w:eastAsia="ar-SA"/>
        </w:rPr>
      </w:pPr>
    </w:p>
    <w:p w:rsidR="00925A70" w:rsidRPr="005A1530" w:rsidRDefault="00925A70" w:rsidP="00925A70">
      <w:pPr>
        <w:spacing w:after="120"/>
        <w:jc w:val="center"/>
        <w:rPr>
          <w:rFonts w:asciiTheme="majorHAnsi" w:eastAsia="Calibri" w:hAnsiTheme="majorHAnsi" w:cstheme="majorHAnsi"/>
          <w:b/>
          <w:sz w:val="22"/>
          <w:szCs w:val="22"/>
          <w:lang w:eastAsia="en-US"/>
        </w:rPr>
      </w:pPr>
      <w:r w:rsidRPr="005A1530">
        <w:rPr>
          <w:rFonts w:asciiTheme="majorHAnsi" w:eastAsia="Calibri" w:hAnsiTheme="majorHAnsi" w:cstheme="majorHAnsi"/>
          <w:b/>
          <w:sz w:val="22"/>
          <w:szCs w:val="22"/>
        </w:rPr>
        <w:t xml:space="preserve">Część nr </w:t>
      </w:r>
      <w:r w:rsidR="00CA1B8F">
        <w:rPr>
          <w:rFonts w:asciiTheme="majorHAnsi" w:eastAsia="Calibri" w:hAnsiTheme="majorHAnsi" w:cstheme="majorHAnsi"/>
          <w:b/>
          <w:sz w:val="22"/>
          <w:szCs w:val="22"/>
        </w:rPr>
        <w:t>3</w:t>
      </w:r>
    </w:p>
    <w:p w:rsidR="00925A70" w:rsidRPr="005A1530" w:rsidRDefault="00925A70" w:rsidP="00925A70">
      <w:pPr>
        <w:spacing w:after="120"/>
        <w:jc w:val="center"/>
        <w:rPr>
          <w:rFonts w:asciiTheme="majorHAnsi" w:eastAsia="Calibri" w:hAnsiTheme="majorHAnsi" w:cstheme="majorHAnsi"/>
          <w:sz w:val="22"/>
          <w:szCs w:val="22"/>
        </w:rPr>
      </w:pPr>
      <w:r w:rsidRPr="005A1530">
        <w:rPr>
          <w:rFonts w:asciiTheme="majorHAnsi" w:eastAsia="Calibri" w:hAnsiTheme="majorHAnsi" w:cstheme="majorHAnsi"/>
          <w:sz w:val="22"/>
          <w:szCs w:val="22"/>
        </w:rPr>
        <w:t xml:space="preserve">Opis przedmiotu zamówienia – zestawienie parametrów wymaganych </w:t>
      </w:r>
    </w:p>
    <w:p w:rsidR="00925A70" w:rsidRPr="005A1530" w:rsidRDefault="00925A70" w:rsidP="00925A70">
      <w:pPr>
        <w:suppressAutoHyphens/>
        <w:spacing w:after="120" w:line="480" w:lineRule="auto"/>
        <w:contextualSpacing/>
        <w:rPr>
          <w:rFonts w:asciiTheme="majorHAnsi" w:eastAsia="Calibri" w:hAnsiTheme="majorHAnsi" w:cstheme="majorHAnsi"/>
          <w:b/>
          <w:color w:val="FF0000"/>
          <w:sz w:val="22"/>
          <w:szCs w:val="22"/>
          <w:lang w:eastAsia="en-US"/>
        </w:rPr>
      </w:pPr>
    </w:p>
    <w:tbl>
      <w:tblPr>
        <w:tblStyle w:val="Tabela-Siatka"/>
        <w:tblW w:w="10350" w:type="dxa"/>
        <w:tblInd w:w="-289" w:type="dxa"/>
        <w:tblLayout w:type="fixed"/>
        <w:tblLook w:val="04A0" w:firstRow="1" w:lastRow="0" w:firstColumn="1" w:lastColumn="0" w:noHBand="0" w:noVBand="1"/>
      </w:tblPr>
      <w:tblGrid>
        <w:gridCol w:w="711"/>
        <w:gridCol w:w="5244"/>
        <w:gridCol w:w="2128"/>
        <w:gridCol w:w="2267"/>
      </w:tblGrid>
      <w:tr w:rsidR="00925A70" w:rsidRPr="005A1530" w:rsidTr="00925A70">
        <w:trPr>
          <w:cantSplit/>
          <w:trHeight w:val="1571"/>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5A70" w:rsidRPr="005A1530" w:rsidRDefault="00925A70">
            <w:pPr>
              <w:ind w:left="360"/>
              <w:rPr>
                <w:rFonts w:asciiTheme="majorHAnsi" w:hAnsiTheme="majorHAnsi" w:cstheme="majorHAnsi"/>
                <w:sz w:val="22"/>
                <w:szCs w:val="22"/>
              </w:rPr>
            </w:pPr>
          </w:p>
        </w:tc>
        <w:tc>
          <w:tcPr>
            <w:tcW w:w="5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5A70" w:rsidRPr="005A1530" w:rsidRDefault="00925A70">
            <w:pPr>
              <w:jc w:val="center"/>
              <w:rPr>
                <w:rFonts w:asciiTheme="majorHAnsi" w:hAnsiTheme="majorHAnsi" w:cstheme="majorHAnsi"/>
                <w:sz w:val="22"/>
                <w:szCs w:val="22"/>
              </w:rPr>
            </w:pPr>
            <w:r w:rsidRPr="005A1530">
              <w:rPr>
                <w:rFonts w:asciiTheme="majorHAnsi" w:hAnsiTheme="majorHAnsi" w:cstheme="majorHAnsi"/>
                <w:sz w:val="22"/>
                <w:szCs w:val="22"/>
              </w:rPr>
              <w:t>Parametr</w:t>
            </w:r>
          </w:p>
        </w:tc>
        <w:tc>
          <w:tcPr>
            <w:tcW w:w="2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5A70" w:rsidRPr="005A1530" w:rsidRDefault="00925A70">
            <w:pPr>
              <w:jc w:val="center"/>
              <w:rPr>
                <w:rFonts w:asciiTheme="majorHAnsi" w:hAnsiTheme="majorHAnsi" w:cstheme="majorHAnsi"/>
                <w:sz w:val="22"/>
                <w:szCs w:val="22"/>
              </w:rPr>
            </w:pPr>
            <w:r w:rsidRPr="005A1530">
              <w:rPr>
                <w:rFonts w:asciiTheme="majorHAnsi" w:hAnsiTheme="majorHAnsi" w:cstheme="majorHAnsi"/>
                <w:sz w:val="22"/>
                <w:szCs w:val="22"/>
              </w:rPr>
              <w:t>Wartość wymagana</w:t>
            </w:r>
          </w:p>
        </w:tc>
        <w:tc>
          <w:tcPr>
            <w:tcW w:w="2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25A70" w:rsidRPr="005A1530" w:rsidRDefault="00925A70">
            <w:pPr>
              <w:jc w:val="center"/>
              <w:rPr>
                <w:rFonts w:asciiTheme="majorHAnsi" w:hAnsiTheme="majorHAnsi" w:cstheme="majorHAnsi"/>
                <w:sz w:val="22"/>
                <w:szCs w:val="22"/>
              </w:rPr>
            </w:pPr>
            <w:r w:rsidRPr="005A1530">
              <w:rPr>
                <w:rFonts w:asciiTheme="majorHAnsi" w:hAnsiTheme="majorHAnsi" w:cstheme="majorHAnsi"/>
                <w:sz w:val="22"/>
                <w:szCs w:val="22"/>
              </w:rPr>
              <w:t xml:space="preserve">Wartość oferowana przez Wykonawcę </w:t>
            </w:r>
            <w:r w:rsidRPr="005A1530">
              <w:rPr>
                <w:rFonts w:asciiTheme="majorHAnsi" w:hAnsiTheme="majorHAnsi" w:cstheme="majorHAnsi"/>
                <w:sz w:val="22"/>
                <w:szCs w:val="22"/>
              </w:rPr>
              <w:br/>
              <w:t>(podać oferowaną wartość w zależności od wartości wymaganej)</w:t>
            </w:r>
          </w:p>
        </w:tc>
      </w:tr>
      <w:tr w:rsidR="00A773CD" w:rsidRPr="005A1530" w:rsidTr="00690C60">
        <w:trPr>
          <w:cantSplit/>
          <w:trHeight w:val="536"/>
        </w:trPr>
        <w:tc>
          <w:tcPr>
            <w:tcW w:w="10350" w:type="dxa"/>
            <w:gridSpan w:val="4"/>
            <w:tcBorders>
              <w:top w:val="single" w:sz="4" w:space="0" w:color="auto"/>
              <w:left w:val="single" w:sz="4" w:space="0" w:color="auto"/>
              <w:bottom w:val="single" w:sz="4" w:space="0" w:color="auto"/>
              <w:right w:val="single" w:sz="4" w:space="0" w:color="auto"/>
            </w:tcBorders>
            <w:vAlign w:val="center"/>
          </w:tcPr>
          <w:p w:rsidR="00A773CD" w:rsidRPr="005A1530" w:rsidRDefault="00A773CD">
            <w:pPr>
              <w:jc w:val="center"/>
              <w:rPr>
                <w:rFonts w:asciiTheme="majorHAnsi" w:hAnsiTheme="majorHAnsi" w:cstheme="majorHAnsi"/>
                <w:sz w:val="22"/>
                <w:szCs w:val="22"/>
              </w:rPr>
            </w:pPr>
            <w:bookmarkStart w:id="1" w:name="_Hlk220502869"/>
            <w:bookmarkStart w:id="2" w:name="_Hlk220502878"/>
            <w:r w:rsidRPr="005A1530">
              <w:rPr>
                <w:rFonts w:asciiTheme="majorHAnsi" w:hAnsiTheme="majorHAnsi" w:cstheme="majorHAnsi"/>
                <w:sz w:val="22"/>
                <w:szCs w:val="22"/>
              </w:rPr>
              <w:t>KARDIOMONITOR – 8 SZT.</w:t>
            </w:r>
          </w:p>
        </w:tc>
      </w:tr>
      <w:bookmarkEnd w:id="1"/>
      <w:tr w:rsidR="00A773CD" w:rsidRPr="005A1530" w:rsidTr="00871D21">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vAlign w:val="center"/>
          </w:tcPr>
          <w:p w:rsidR="00A773CD" w:rsidRPr="005A1530" w:rsidRDefault="00A773CD" w:rsidP="00A773CD">
            <w:pPr>
              <w:rPr>
                <w:rFonts w:asciiTheme="majorHAnsi" w:hAnsiTheme="majorHAnsi" w:cstheme="majorHAnsi"/>
                <w:sz w:val="22"/>
                <w:szCs w:val="22"/>
              </w:rPr>
            </w:pPr>
            <w:r w:rsidRPr="005A1530">
              <w:rPr>
                <w:rFonts w:asciiTheme="majorHAnsi" w:hAnsiTheme="majorHAnsi" w:cstheme="majorHAnsi"/>
                <w:sz w:val="22"/>
                <w:szCs w:val="22"/>
              </w:rPr>
              <w:t xml:space="preserve">Producent:                           </w:t>
            </w:r>
          </w:p>
          <w:p w:rsidR="00A773CD" w:rsidRPr="005A1530" w:rsidRDefault="00A773CD" w:rsidP="00A773CD">
            <w:pPr>
              <w:rPr>
                <w:rFonts w:asciiTheme="majorHAnsi" w:hAnsiTheme="majorHAnsi" w:cstheme="majorHAnsi"/>
                <w:sz w:val="22"/>
                <w:szCs w:val="22"/>
              </w:rPr>
            </w:pPr>
            <w:r w:rsidRPr="005A1530">
              <w:rPr>
                <w:rFonts w:asciiTheme="majorHAnsi" w:hAnsiTheme="majorHAnsi" w:cstheme="majorHAnsi"/>
                <w:sz w:val="22"/>
                <w:szCs w:val="22"/>
              </w:rPr>
              <w:t xml:space="preserve">Kraj produkcji:                                </w:t>
            </w:r>
          </w:p>
        </w:tc>
        <w:tc>
          <w:tcPr>
            <w:tcW w:w="2128" w:type="dxa"/>
            <w:tcBorders>
              <w:left w:val="single" w:sz="4" w:space="0" w:color="000000"/>
              <w:bottom w:val="single" w:sz="4" w:space="0" w:color="000000"/>
            </w:tcBorders>
            <w:shd w:val="clear" w:color="auto" w:fill="FFFFFF"/>
            <w:vAlign w:val="center"/>
          </w:tcPr>
          <w:p w:rsidR="00A773CD" w:rsidRPr="005A1530" w:rsidRDefault="00A773CD" w:rsidP="00A773CD">
            <w:pPr>
              <w:snapToGrid w:val="0"/>
              <w:jc w:val="center"/>
              <w:rPr>
                <w:rFonts w:asciiTheme="majorHAnsi" w:hAnsiTheme="majorHAnsi" w:cstheme="majorHAnsi"/>
                <w:sz w:val="22"/>
                <w:szCs w:val="22"/>
              </w:rPr>
            </w:pPr>
            <w:r w:rsidRPr="005A1530">
              <w:rPr>
                <w:rFonts w:asciiTheme="majorHAnsi" w:hAnsiTheme="majorHAnsi" w:cstheme="majorHAnsi"/>
                <w:sz w:val="22"/>
                <w:szCs w:val="22"/>
              </w:rPr>
              <w:t>TAK, podać</w:t>
            </w:r>
          </w:p>
        </w:tc>
        <w:tc>
          <w:tcPr>
            <w:tcW w:w="2267" w:type="dxa"/>
          </w:tcPr>
          <w:p w:rsidR="00A773CD" w:rsidRPr="005A1530" w:rsidRDefault="00A773CD" w:rsidP="00A773CD">
            <w:pPr>
              <w:jc w:val="center"/>
              <w:rPr>
                <w:rFonts w:asciiTheme="majorHAnsi" w:hAnsiTheme="majorHAnsi" w:cstheme="majorHAnsi"/>
                <w:sz w:val="22"/>
                <w:szCs w:val="22"/>
              </w:rPr>
            </w:pPr>
          </w:p>
        </w:tc>
      </w:tr>
      <w:tr w:rsidR="00A773CD" w:rsidRPr="005A1530" w:rsidTr="00871D21">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rPr>
                <w:rFonts w:asciiTheme="majorHAnsi" w:eastAsiaTheme="minorEastAsia" w:hAnsiTheme="majorHAnsi" w:cstheme="majorHAnsi"/>
                <w:sz w:val="22"/>
                <w:szCs w:val="22"/>
                <w:lang w:eastAsia="ja-JP"/>
              </w:rPr>
            </w:pPr>
            <w:r w:rsidRPr="005A1530">
              <w:rPr>
                <w:rFonts w:asciiTheme="majorHAnsi" w:eastAsiaTheme="minorEastAsia" w:hAnsiTheme="majorHAnsi" w:cstheme="majorHAnsi"/>
                <w:sz w:val="22"/>
                <w:szCs w:val="22"/>
                <w:lang w:eastAsia="ja-JP"/>
              </w:rPr>
              <w:t xml:space="preserve">Urządzenia nowe, </w:t>
            </w:r>
            <w:proofErr w:type="spellStart"/>
            <w:r w:rsidRPr="005A1530">
              <w:rPr>
                <w:rFonts w:asciiTheme="majorHAnsi" w:eastAsiaTheme="minorEastAsia" w:hAnsiTheme="majorHAnsi" w:cstheme="majorHAnsi"/>
                <w:sz w:val="22"/>
                <w:szCs w:val="22"/>
                <w:lang w:eastAsia="ja-JP"/>
              </w:rPr>
              <w:t>nierekondycjonowane</w:t>
            </w:r>
            <w:proofErr w:type="spellEnd"/>
          </w:p>
        </w:tc>
        <w:tc>
          <w:tcPr>
            <w:tcW w:w="2128" w:type="dxa"/>
            <w:tcBorders>
              <w:top w:val="nil"/>
            </w:tcBorders>
            <w:vAlign w:val="center"/>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TAK</w:t>
            </w:r>
          </w:p>
        </w:tc>
        <w:tc>
          <w:tcPr>
            <w:tcW w:w="2267" w:type="dxa"/>
            <w:tcBorders>
              <w:top w:val="nil"/>
            </w:tcBorders>
          </w:tcPr>
          <w:p w:rsidR="00A773CD" w:rsidRPr="005A1530" w:rsidRDefault="00A773CD" w:rsidP="00A773CD">
            <w:pPr>
              <w:jc w:val="center"/>
              <w:rPr>
                <w:rFonts w:asciiTheme="majorHAnsi" w:hAnsiTheme="majorHAnsi" w:cstheme="majorHAnsi"/>
                <w:sz w:val="22"/>
                <w:szCs w:val="22"/>
              </w:rPr>
            </w:pPr>
          </w:p>
        </w:tc>
      </w:tr>
      <w:tr w:rsidR="00A773CD" w:rsidRPr="005A1530" w:rsidTr="00871D21">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auto"/>
              <w:left w:val="single" w:sz="4" w:space="0" w:color="auto"/>
              <w:bottom w:val="single" w:sz="4" w:space="0" w:color="auto"/>
              <w:right w:val="single" w:sz="4" w:space="0" w:color="auto"/>
            </w:tcBorders>
            <w:vAlign w:val="bottom"/>
            <w:hideMark/>
          </w:tcPr>
          <w:p w:rsidR="00A773CD" w:rsidRPr="005A1530" w:rsidRDefault="00A773CD" w:rsidP="00A773CD">
            <w:pP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 xml:space="preserve">Zaoferowany system monitorowania pacjenta dla OIOM. Konieczność połączenia zaoferowanego systemu z serwerem umożliwiającym przesyłanie i gromadzenie danych z w/w oddziałów. W przypadku konieczności </w:t>
            </w:r>
            <w:proofErr w:type="spellStart"/>
            <w:r w:rsidRPr="005A1530">
              <w:rPr>
                <w:rFonts w:asciiTheme="majorHAnsi" w:hAnsiTheme="majorHAnsi" w:cstheme="majorHAnsi"/>
                <w:color w:val="000000"/>
                <w:sz w:val="22"/>
                <w:szCs w:val="22"/>
                <w:lang w:eastAsia="ja-JP"/>
              </w:rPr>
              <w:t>upgradu</w:t>
            </w:r>
            <w:proofErr w:type="spellEnd"/>
            <w:r w:rsidRPr="005A1530">
              <w:rPr>
                <w:rFonts w:asciiTheme="majorHAnsi" w:hAnsiTheme="majorHAnsi" w:cstheme="majorHAnsi"/>
                <w:color w:val="000000"/>
                <w:sz w:val="22"/>
                <w:szCs w:val="22"/>
                <w:lang w:eastAsia="ja-JP"/>
              </w:rPr>
              <w:t xml:space="preserve"> sytemu Wykonawca wykona to w ramach umowy.</w:t>
            </w:r>
          </w:p>
        </w:tc>
        <w:tc>
          <w:tcPr>
            <w:tcW w:w="2128" w:type="dxa"/>
            <w:tcBorders>
              <w:top w:val="nil"/>
            </w:tcBorders>
            <w:vAlign w:val="center"/>
            <w:hideMark/>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TAK</w:t>
            </w:r>
          </w:p>
        </w:tc>
        <w:tc>
          <w:tcPr>
            <w:tcW w:w="2267" w:type="dxa"/>
            <w:tcBorders>
              <w:top w:val="nil"/>
            </w:tcBorders>
          </w:tcPr>
          <w:p w:rsidR="00A773CD" w:rsidRPr="005A1530" w:rsidRDefault="00A773CD" w:rsidP="00A773CD">
            <w:pPr>
              <w:jc w:val="center"/>
              <w:rPr>
                <w:rFonts w:asciiTheme="majorHAnsi" w:hAnsiTheme="majorHAnsi" w:cstheme="majorHAnsi"/>
                <w:sz w:val="22"/>
                <w:szCs w:val="22"/>
              </w:rPr>
            </w:pPr>
          </w:p>
        </w:tc>
      </w:tr>
      <w:tr w:rsidR="00A773CD" w:rsidRPr="005A1530" w:rsidTr="00B66DDE">
        <w:trPr>
          <w:cantSplit/>
          <w:trHeight w:val="536"/>
        </w:trPr>
        <w:tc>
          <w:tcPr>
            <w:tcW w:w="10350" w:type="dxa"/>
            <w:gridSpan w:val="4"/>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KARDIOMONITOR MODUŁOWY</w:t>
            </w: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Stanowisko monitorowania zainstalowane składające się z:</w:t>
            </w:r>
            <w:r w:rsidRPr="005A1530">
              <w:rPr>
                <w:rFonts w:asciiTheme="majorHAnsi" w:hAnsiTheme="majorHAnsi" w:cstheme="majorHAnsi"/>
                <w:sz w:val="22"/>
                <w:szCs w:val="22"/>
                <w:lang w:eastAsia="ja-JP"/>
              </w:rPr>
              <w:br/>
            </w:r>
            <w:r w:rsidRPr="005A1530">
              <w:rPr>
                <w:rFonts w:asciiTheme="majorHAnsi" w:hAnsiTheme="majorHAnsi" w:cstheme="majorHAnsi"/>
                <w:b/>
                <w:bCs/>
                <w:sz w:val="22"/>
                <w:szCs w:val="22"/>
                <w:lang w:eastAsia="ja-JP"/>
              </w:rPr>
              <w:t xml:space="preserve">- jednostki głównej kardiomonitora </w:t>
            </w:r>
            <w:r w:rsidRPr="005A1530">
              <w:rPr>
                <w:rFonts w:asciiTheme="majorHAnsi" w:hAnsiTheme="majorHAnsi" w:cstheme="majorHAnsi"/>
                <w:b/>
                <w:bCs/>
                <w:sz w:val="22"/>
                <w:szCs w:val="22"/>
                <w:lang w:eastAsia="ja-JP"/>
              </w:rPr>
              <w:br/>
              <w:t xml:space="preserve">- odłączanego modułu transportowego </w:t>
            </w:r>
            <w:r w:rsidRPr="005A1530">
              <w:rPr>
                <w:rFonts w:asciiTheme="majorHAnsi" w:hAnsiTheme="majorHAnsi" w:cstheme="majorHAnsi"/>
                <w:sz w:val="22"/>
                <w:szCs w:val="22"/>
                <w:lang w:eastAsia="ja-JP"/>
              </w:rPr>
              <w:t xml:space="preserve"> </w:t>
            </w:r>
            <w:r w:rsidRPr="005A1530">
              <w:rPr>
                <w:rFonts w:asciiTheme="majorHAnsi" w:hAnsiTheme="majorHAnsi" w:cstheme="majorHAnsi"/>
                <w:sz w:val="22"/>
                <w:szCs w:val="22"/>
                <w:lang w:eastAsia="ja-JP"/>
              </w:rPr>
              <w:br/>
              <w:t>Moduły pomiarowe jedno lub wieloparametrowe z możliwością zamiennego wykorzystania we wszystkich opisywanych kardiomonitorach.</w:t>
            </w:r>
            <w:r w:rsidRPr="005A1530">
              <w:rPr>
                <w:rFonts w:asciiTheme="majorHAnsi" w:hAnsiTheme="majorHAnsi" w:cstheme="majorHAnsi"/>
                <w:sz w:val="22"/>
                <w:szCs w:val="22"/>
                <w:lang w:eastAsia="ja-JP"/>
              </w:rPr>
              <w:br/>
              <w:t xml:space="preserve">Zasilanie, komunikacja oraz przesyłanie danych pomiarowych z modułów pomiarowych do monitora realizowane wyłącznie poprzez styki elektryczne. </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rozbudowy o</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zewnętrzną kieszeń lub kieszenie umożliwiające podłączenie min. do 4 modułów pomiarowych. </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Konstrukcja zapobiegająca wchłanianiu kurzu i rozprzestrzenianiu się infekcji, bez wbudowanych wiatraków/wentylatorów. Chłodzenie kardiomonitora konwekcyjne.</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Obudowa kardiomonitora łatwa do czyszczenia, kroploszczelna (min. IP21), odporna na środki dezynfekcyjne.</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wykorzystania odłączanego elementu kardiomonitora jako monitora transportowego z funkcjami pomiaru i alarmów co najmniej EKG, oddechu, tętna, saturacji i ciśnienia krwi nieinwazyjnego oraz inwazyjnego.</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Element/moduł transportowy wyposażony w zasilanie akumulatorowe na min. 5 godzin ciągłej pracy.</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Element/moduł transportowy wyposażony w ekran dotykowy o przekątnej min. 6’’ z obsługą gestów oraz automatyczną rotacją ekranu 90/180 stopni.</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Element/moduł transportowy wyposażony w system alarmów, pamięć pomiarów i danych demograficznych pacjenta oraz trendów z min. 48 godz.</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Wysoka odporność modułu transportowego na zabrudzenia, zalanie (min. IP32), wstrząsy, uderzenia, upadki (min. 1 m). Automatyczne ładowanie akumulatora modułu po zadokowaniu w kardiomonitorze. Pełny dostęp do elementów sterujących i ekranu modułu również po zadokowaniu w kardiomonitorze.</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Masa modułu transportowego nie większa niż 1,5 kg.</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1C96" w:rsidRPr="005A1530" w:rsidRDefault="00091C96" w:rsidP="00091C96">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TAK/NIE</w:t>
            </w:r>
          </w:p>
          <w:p w:rsidR="00091C96" w:rsidRPr="005A1530" w:rsidRDefault="00091C96" w:rsidP="00091C96">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Parametr oceniany:</w:t>
            </w:r>
          </w:p>
          <w:p w:rsidR="00091C96" w:rsidRPr="005A1530" w:rsidRDefault="00091C96" w:rsidP="00091C96">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 – 5 pkt</w:t>
            </w:r>
          </w:p>
          <w:p w:rsidR="00A773CD" w:rsidRPr="005A1530" w:rsidRDefault="00091C96" w:rsidP="00091C96">
            <w:pPr>
              <w:jc w:val="center"/>
              <w:rPr>
                <w:rFonts w:asciiTheme="majorHAnsi" w:hAnsiTheme="majorHAnsi" w:cstheme="majorHAnsi"/>
                <w:color w:val="000000"/>
                <w:sz w:val="22"/>
                <w:szCs w:val="22"/>
                <w:lang w:eastAsia="ja-JP"/>
              </w:rPr>
            </w:pPr>
            <w:r w:rsidRPr="005A1530">
              <w:rPr>
                <w:rFonts w:asciiTheme="majorHAnsi" w:hAnsiTheme="majorHAnsi" w:cstheme="majorHAnsi"/>
                <w:sz w:val="22"/>
                <w:szCs w:val="22"/>
                <w:lang w:eastAsia="ja-JP"/>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Ekran kolorowy kardiomonitora TFT o wysokiej rozdzielczości min. 1900 x 1000 pikseli. Ekran dotykowy pojemnościowy z obsługą gestów.</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873BF9">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Przekątna ekranu min. 19 cali.</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Duże, czytelne odczyty numeryczne oraz krzywe dynamiczne (min. 4 krzywych).</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dopasowania zawartości ekranu do aktualnych potrzeb użytkownika bez udziału serwisu. Możliwość zapisania w pamięci własnych układów ekranu utworzonych przez użytkownika, min. 20 konfiguracji bez udziału serwisu.</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Regulacja jasności ekranu, min. 10 poziomów; wbudowany czujnik oświetlenia automatycznie dopasowujący poziom jasności względem warunków otoczenia.</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Dostęp do wszystkich funkcji monitora za pomocą ekranu dotykowego i menu w języku polskim.</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Pamięć różnych ustawień parametrów kardiomonitora z możliwością dowolnego przywoływania bez przerywania pracy – min. 20 różnych profili.</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Wydruk funkcji życiowych i raportów z poziomu kardiomonitora do plików w formacie PDF. Szyfrowane połączenie sieciowe uniemożliwiające przechwycenie danych.</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podglądu na ekranie zapisów z innego kardiomonitora tej samej marki.</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Wbudowany klient systemu </w:t>
            </w:r>
            <w:proofErr w:type="spellStart"/>
            <w:r w:rsidRPr="005A1530">
              <w:rPr>
                <w:rFonts w:asciiTheme="majorHAnsi" w:hAnsiTheme="majorHAnsi" w:cstheme="majorHAnsi"/>
                <w:sz w:val="22"/>
                <w:szCs w:val="22"/>
                <w:lang w:eastAsia="ja-JP"/>
              </w:rPr>
              <w:t>Citrix</w:t>
            </w:r>
            <w:proofErr w:type="spellEnd"/>
            <w:r w:rsidRPr="005A1530">
              <w:rPr>
                <w:rFonts w:asciiTheme="majorHAnsi" w:hAnsiTheme="majorHAnsi" w:cstheme="majorHAnsi"/>
                <w:sz w:val="22"/>
                <w:szCs w:val="22"/>
                <w:lang w:eastAsia="ja-JP"/>
              </w:rPr>
              <w:t xml:space="preserve"> </w:t>
            </w:r>
            <w:proofErr w:type="spellStart"/>
            <w:r w:rsidRPr="005A1530">
              <w:rPr>
                <w:rFonts w:asciiTheme="majorHAnsi" w:hAnsiTheme="majorHAnsi" w:cstheme="majorHAnsi"/>
                <w:sz w:val="22"/>
                <w:szCs w:val="22"/>
                <w:lang w:eastAsia="ja-JP"/>
              </w:rPr>
              <w:t>Xen</w:t>
            </w:r>
            <w:proofErr w:type="spellEnd"/>
            <w:r w:rsidRPr="005A1530">
              <w:rPr>
                <w:rFonts w:asciiTheme="majorHAnsi" w:hAnsiTheme="majorHAnsi" w:cstheme="majorHAnsi"/>
                <w:sz w:val="22"/>
                <w:szCs w:val="22"/>
                <w:lang w:eastAsia="ja-JP"/>
              </w:rPr>
              <w:t>.</w:t>
            </w:r>
          </w:p>
        </w:tc>
        <w:tc>
          <w:tcPr>
            <w:tcW w:w="2128" w:type="dxa"/>
            <w:tcBorders>
              <w:top w:val="single" w:sz="4" w:space="0" w:color="000000"/>
              <w:left w:val="single" w:sz="4" w:space="0" w:color="000000"/>
              <w:bottom w:val="single" w:sz="4" w:space="0" w:color="000000"/>
              <w:right w:val="single" w:sz="4" w:space="0" w:color="000000"/>
            </w:tcBorders>
            <w:vAlign w:val="center"/>
          </w:tcPr>
          <w:p w:rsidR="00B73A73" w:rsidRPr="005A1530" w:rsidRDefault="00B73A73" w:rsidP="00B73A73">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TAK/NIE</w:t>
            </w:r>
          </w:p>
          <w:p w:rsidR="00B73A73" w:rsidRPr="005A1530" w:rsidRDefault="00B73A73" w:rsidP="00B73A73">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Parametr oceniany:</w:t>
            </w:r>
          </w:p>
          <w:p w:rsidR="00B73A73" w:rsidRPr="005A1530" w:rsidRDefault="00B73A73" w:rsidP="00B73A73">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 – 5 pkt</w:t>
            </w:r>
          </w:p>
          <w:p w:rsidR="00A773CD" w:rsidRPr="005A1530" w:rsidRDefault="00B73A73" w:rsidP="00B73A73">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uruchamiania aplikacji webowych www bez konieczności instalowania dodatkowego oprogramowania (wbudowany silnik renderujący HTML5).</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Wbudowane min. 4 porty USB, wyjście sygnału na zewnętrzny monitor złączem z szyfrowanym sygnałem, złącze Ethernet, port RS232 oraz gniazdo synchronizacji sygnału EKG.</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Gniazdo cyfrowe umożliwiające podłączenie ekranu kopiującego np. HDMI lub DVI (możliwość rozbudowy).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Szyfrowanie zgromadzonych danych pacjenta w wewnętrznym systemie plików kardiomonitora.</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Wbudowana komunikacja NFC oraz </w:t>
            </w:r>
            <w:proofErr w:type="spellStart"/>
            <w:r w:rsidRPr="005A1530">
              <w:rPr>
                <w:rFonts w:asciiTheme="majorHAnsi" w:hAnsiTheme="majorHAnsi" w:cstheme="majorHAnsi"/>
                <w:sz w:val="22"/>
                <w:szCs w:val="22"/>
                <w:lang w:eastAsia="ja-JP"/>
              </w:rPr>
              <w:t>RFiD</w:t>
            </w:r>
            <w:proofErr w:type="spellEnd"/>
            <w:r w:rsidRPr="005A1530">
              <w:rPr>
                <w:rFonts w:asciiTheme="majorHAnsi" w:hAnsiTheme="majorHAnsi" w:cstheme="majorHAnsi"/>
                <w:sz w:val="22"/>
                <w:szCs w:val="22"/>
                <w:lang w:eastAsia="ja-JP"/>
              </w:rPr>
              <w:t>.</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TAK/NIE</w:t>
            </w:r>
          </w:p>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Parametr oceniany:</w:t>
            </w:r>
          </w:p>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Tak – 5 pkt</w:t>
            </w:r>
          </w:p>
          <w:p w:rsidR="00A773CD" w:rsidRPr="005A1530"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Alarmy dźwiękowe i wizualne wszystkich monitorowanych parametrów oraz zaburzeń rytmu serca.</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zawieszania alarmów dźwiękowych na wybrany okres, min. od 1 do 10 minut oraz na stałe.</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71113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Alarmy ustawiane ręcznie oraz automatycznie (na podstawie aktualnego stanu pacjenta) z możliwością regulacji progów w jednym wspólnym menu.</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156B65">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Regulacja głośności alarmów dźwiękowych z zabezpieczeniem przed całkowitym wyciszeniem, min. 10 progów głośności.</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361745">
        <w:trPr>
          <w:cantSplit/>
          <w:trHeight w:val="536"/>
        </w:trPr>
        <w:tc>
          <w:tcPr>
            <w:tcW w:w="10350" w:type="dxa"/>
            <w:gridSpan w:val="4"/>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MODUŁY POMIAROWE</w:t>
            </w: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sz w:val="22"/>
                <w:szCs w:val="22"/>
                <w:lang w:eastAsia="ja-JP"/>
              </w:rPr>
              <w:t>Pomiar EKG</w:t>
            </w:r>
            <w:r w:rsidRPr="005A1530">
              <w:rPr>
                <w:rFonts w:asciiTheme="majorHAnsi" w:hAnsiTheme="majorHAnsi" w:cstheme="majorHAnsi"/>
                <w:sz w:val="22"/>
                <w:szCs w:val="22"/>
                <w:lang w:eastAsia="ja-JP"/>
              </w:rPr>
              <w:br/>
              <w:t xml:space="preserve">Monitorowanie i jednoczesne wyświetlanie od 1 do 12 </w:t>
            </w:r>
            <w:proofErr w:type="spellStart"/>
            <w:r w:rsidRPr="005A1530">
              <w:rPr>
                <w:rFonts w:asciiTheme="majorHAnsi" w:hAnsiTheme="majorHAnsi" w:cstheme="majorHAnsi"/>
                <w:sz w:val="22"/>
                <w:szCs w:val="22"/>
                <w:lang w:eastAsia="ja-JP"/>
              </w:rPr>
              <w:t>odprowadzeń</w:t>
            </w:r>
            <w:proofErr w:type="spellEnd"/>
            <w:r w:rsidRPr="005A1530">
              <w:rPr>
                <w:rFonts w:asciiTheme="majorHAnsi" w:hAnsiTheme="majorHAnsi" w:cstheme="majorHAnsi"/>
                <w:sz w:val="22"/>
                <w:szCs w:val="22"/>
                <w:lang w:eastAsia="ja-JP"/>
              </w:rPr>
              <w:t xml:space="preserve"> EKG; monitor wyposażony w funkcję rekonstrukcji 12 </w:t>
            </w:r>
            <w:proofErr w:type="spellStart"/>
            <w:r w:rsidRPr="005A1530">
              <w:rPr>
                <w:rFonts w:asciiTheme="majorHAnsi" w:hAnsiTheme="majorHAnsi" w:cstheme="majorHAnsi"/>
                <w:sz w:val="22"/>
                <w:szCs w:val="22"/>
                <w:lang w:eastAsia="ja-JP"/>
              </w:rPr>
              <w:t>odprowadzeń</w:t>
            </w:r>
            <w:proofErr w:type="spellEnd"/>
            <w:r w:rsidRPr="005A1530">
              <w:rPr>
                <w:rFonts w:asciiTheme="majorHAnsi" w:hAnsiTheme="majorHAnsi" w:cstheme="majorHAnsi"/>
                <w:sz w:val="22"/>
                <w:szCs w:val="22"/>
                <w:lang w:eastAsia="ja-JP"/>
              </w:rPr>
              <w:t xml:space="preserve"> EKG z 5 i 6 elektrod EKG; pomiar HR w zakresie min. 15-350 /min. z dokładnością +/-1%. Alarm niskiej i wysokiej wartości HR.</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Analiza odcinka ST z prezentacją graficzną zmian ST na wykresach kołowych. Funkcja gromadzi pomiary odcinka ST oraz trendy uzyskane z pomiarów w płaszczyźnie pionowej (odprowadzenia kończynowe) i poziomej (odprowadzenia przedsercowe). Możliwość wyboru referencyjnego poziomu wyjściowego.</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p w:rsidR="00A773CD" w:rsidRPr="005A1530" w:rsidRDefault="00A773CD" w:rsidP="00A773CD">
            <w:pPr>
              <w:jc w:val="center"/>
              <w:rPr>
                <w:rFonts w:asciiTheme="majorHAnsi" w:hAnsiTheme="majorHAnsi" w:cstheme="majorHAnsi"/>
                <w:sz w:val="22"/>
                <w:szCs w:val="22"/>
                <w:lang w:eastAsia="ja-JP"/>
              </w:rPr>
            </w:pP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Pomiar, prezentacja i alarmy wartości QT i </w:t>
            </w:r>
            <w:proofErr w:type="spellStart"/>
            <w:r w:rsidRPr="005A1530">
              <w:rPr>
                <w:rFonts w:asciiTheme="majorHAnsi" w:hAnsiTheme="majorHAnsi" w:cstheme="majorHAnsi"/>
                <w:sz w:val="22"/>
                <w:szCs w:val="22"/>
                <w:lang w:eastAsia="ja-JP"/>
              </w:rPr>
              <w:t>QTc</w:t>
            </w:r>
            <w:proofErr w:type="spellEnd"/>
            <w:r w:rsidRPr="005A1530">
              <w:rPr>
                <w:rFonts w:asciiTheme="majorHAnsi" w:hAnsiTheme="majorHAnsi" w:cstheme="majorHAnsi"/>
                <w:sz w:val="22"/>
                <w:szCs w:val="22"/>
                <w:lang w:eastAsia="ja-JP"/>
              </w:rPr>
              <w:t xml:space="preserve"> we wszystkich </w:t>
            </w:r>
            <w:proofErr w:type="spellStart"/>
            <w:r w:rsidRPr="005A1530">
              <w:rPr>
                <w:rFonts w:asciiTheme="majorHAnsi" w:hAnsiTheme="majorHAnsi" w:cstheme="majorHAnsi"/>
                <w:sz w:val="22"/>
                <w:szCs w:val="22"/>
                <w:lang w:eastAsia="ja-JP"/>
              </w:rPr>
              <w:t>odprowadzeniach</w:t>
            </w:r>
            <w:proofErr w:type="spellEnd"/>
            <w:r w:rsidRPr="005A1530">
              <w:rPr>
                <w:rFonts w:asciiTheme="majorHAnsi" w:hAnsiTheme="majorHAnsi" w:cstheme="majorHAnsi"/>
                <w:sz w:val="22"/>
                <w:szCs w:val="22"/>
                <w:lang w:eastAsia="ja-JP"/>
              </w:rPr>
              <w:t>.</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Analiza i alarmy zaburzeń rytmu; co najmniej 25 rodzajów, w tym: </w:t>
            </w:r>
            <w:proofErr w:type="spellStart"/>
            <w:r w:rsidRPr="005A1530">
              <w:rPr>
                <w:rFonts w:asciiTheme="majorHAnsi" w:hAnsiTheme="majorHAnsi" w:cstheme="majorHAnsi"/>
                <w:sz w:val="22"/>
                <w:szCs w:val="22"/>
                <w:lang w:eastAsia="ja-JP"/>
              </w:rPr>
              <w:t>asystolii</w:t>
            </w:r>
            <w:proofErr w:type="spellEnd"/>
            <w:r w:rsidRPr="005A1530">
              <w:rPr>
                <w:rFonts w:asciiTheme="majorHAnsi" w:hAnsiTheme="majorHAnsi" w:cstheme="majorHAnsi"/>
                <w:sz w:val="22"/>
                <w:szCs w:val="22"/>
                <w:lang w:eastAsia="ja-JP"/>
              </w:rPr>
              <w:t>, bradykardii, tachykardii, R/T, SV, migotania przedsionków i komór.</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sz w:val="22"/>
                <w:szCs w:val="22"/>
                <w:lang w:eastAsia="ja-JP"/>
              </w:rPr>
              <w:t>Pomiar oddechów (RESP)</w:t>
            </w:r>
            <w:r w:rsidRPr="005A1530">
              <w:rPr>
                <w:rFonts w:asciiTheme="majorHAnsi" w:hAnsiTheme="majorHAnsi" w:cstheme="majorHAnsi"/>
                <w:sz w:val="22"/>
                <w:szCs w:val="22"/>
                <w:lang w:eastAsia="ja-JP"/>
              </w:rPr>
              <w:br/>
              <w:t xml:space="preserve">Pomiar impedancyjny liczby oddechów w zakresie min. 0-170 </w:t>
            </w:r>
            <w:proofErr w:type="spellStart"/>
            <w:r w:rsidRPr="005A1530">
              <w:rPr>
                <w:rFonts w:asciiTheme="majorHAnsi" w:hAnsiTheme="majorHAnsi" w:cstheme="majorHAnsi"/>
                <w:sz w:val="22"/>
                <w:szCs w:val="22"/>
                <w:lang w:eastAsia="ja-JP"/>
              </w:rPr>
              <w:t>odd</w:t>
            </w:r>
            <w:proofErr w:type="spellEnd"/>
            <w:r w:rsidRPr="005A1530">
              <w:rPr>
                <w:rFonts w:asciiTheme="majorHAnsi" w:hAnsiTheme="majorHAnsi" w:cstheme="majorHAnsi"/>
                <w:sz w:val="22"/>
                <w:szCs w:val="22"/>
                <w:lang w:eastAsia="ja-JP"/>
              </w:rPr>
              <w:t xml:space="preserve">./min. z dokładnością nie gorszą niż +/- 1 </w:t>
            </w:r>
            <w:proofErr w:type="spellStart"/>
            <w:r w:rsidRPr="005A1530">
              <w:rPr>
                <w:rFonts w:asciiTheme="majorHAnsi" w:hAnsiTheme="majorHAnsi" w:cstheme="majorHAnsi"/>
                <w:sz w:val="22"/>
                <w:szCs w:val="22"/>
                <w:lang w:eastAsia="ja-JP"/>
              </w:rPr>
              <w:t>odd</w:t>
            </w:r>
            <w:proofErr w:type="spellEnd"/>
            <w:r w:rsidRPr="005A1530">
              <w:rPr>
                <w:rFonts w:asciiTheme="majorHAnsi" w:hAnsiTheme="majorHAnsi" w:cstheme="majorHAnsi"/>
                <w:sz w:val="22"/>
                <w:szCs w:val="22"/>
                <w:lang w:eastAsia="ja-JP"/>
              </w:rPr>
              <w:t xml:space="preserve">./min (dla przedziału 0-120 </w:t>
            </w:r>
            <w:proofErr w:type="spellStart"/>
            <w:r w:rsidRPr="005A1530">
              <w:rPr>
                <w:rFonts w:asciiTheme="majorHAnsi" w:hAnsiTheme="majorHAnsi" w:cstheme="majorHAnsi"/>
                <w:sz w:val="22"/>
                <w:szCs w:val="22"/>
                <w:lang w:eastAsia="ja-JP"/>
              </w:rPr>
              <w:t>odd</w:t>
            </w:r>
            <w:proofErr w:type="spellEnd"/>
            <w:r w:rsidRPr="005A1530">
              <w:rPr>
                <w:rFonts w:asciiTheme="majorHAnsi" w:hAnsiTheme="majorHAnsi" w:cstheme="majorHAnsi"/>
                <w:sz w:val="22"/>
                <w:szCs w:val="22"/>
                <w:lang w:eastAsia="ja-JP"/>
              </w:rPr>
              <w:t>./min). Regulowane opóźnienie alarmu bezdechu.</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sz w:val="22"/>
                <w:szCs w:val="22"/>
                <w:lang w:eastAsia="ja-JP"/>
              </w:rPr>
              <w:t>Pomiar saturacji (SPO2)</w:t>
            </w:r>
            <w:r w:rsidRPr="005A1530">
              <w:rPr>
                <w:rFonts w:asciiTheme="majorHAnsi" w:hAnsiTheme="majorHAnsi" w:cstheme="majorHAnsi"/>
                <w:sz w:val="22"/>
                <w:szCs w:val="22"/>
                <w:lang w:eastAsia="ja-JP"/>
              </w:rPr>
              <w:br/>
              <w:t xml:space="preserve">Pomiar w technologii </w:t>
            </w:r>
            <w:proofErr w:type="spellStart"/>
            <w:r w:rsidRPr="005A1530">
              <w:rPr>
                <w:rFonts w:asciiTheme="majorHAnsi" w:hAnsiTheme="majorHAnsi" w:cstheme="majorHAnsi"/>
                <w:sz w:val="22"/>
                <w:szCs w:val="22"/>
                <w:lang w:eastAsia="ja-JP"/>
              </w:rPr>
              <w:t>Masimo</w:t>
            </w:r>
            <w:proofErr w:type="spellEnd"/>
            <w:r w:rsidRPr="005A1530">
              <w:rPr>
                <w:rFonts w:asciiTheme="majorHAnsi" w:hAnsiTheme="majorHAnsi" w:cstheme="majorHAnsi"/>
                <w:sz w:val="22"/>
                <w:szCs w:val="22"/>
                <w:lang w:eastAsia="ja-JP"/>
              </w:rPr>
              <w:t xml:space="preserve"> </w:t>
            </w:r>
            <w:proofErr w:type="spellStart"/>
            <w:r w:rsidRPr="005A1530">
              <w:rPr>
                <w:rFonts w:asciiTheme="majorHAnsi" w:hAnsiTheme="majorHAnsi" w:cstheme="majorHAnsi"/>
                <w:sz w:val="22"/>
                <w:szCs w:val="22"/>
                <w:lang w:eastAsia="ja-JP"/>
              </w:rPr>
              <w:t>Rainbow</w:t>
            </w:r>
            <w:proofErr w:type="spellEnd"/>
            <w:r w:rsidRPr="005A1530">
              <w:rPr>
                <w:rFonts w:asciiTheme="majorHAnsi" w:hAnsiTheme="majorHAnsi" w:cstheme="majorHAnsi"/>
                <w:sz w:val="22"/>
                <w:szCs w:val="22"/>
                <w:lang w:eastAsia="ja-JP"/>
              </w:rPr>
              <w:t xml:space="preserve"> SET; pomiar SpO2 w zakresie min. 70-100% z dokładnością nie gorszą niż +/-2%.</w:t>
            </w:r>
            <w:r w:rsidRPr="005A1530">
              <w:rPr>
                <w:rFonts w:asciiTheme="majorHAnsi" w:hAnsiTheme="majorHAnsi" w:cstheme="majorHAnsi"/>
                <w:sz w:val="22"/>
                <w:szCs w:val="22"/>
                <w:lang w:eastAsia="ja-JP"/>
              </w:rPr>
              <w:br/>
              <w:t>Pomiar tętna (PR) w zakresie min. 25-240 /min. z dokładnością nie gorszą niż +/-2%.</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 xml:space="preserve">Możliwość rozbudowy o dodatkowe pomiary nieinwazyjnej hemoglobiny (min. </w:t>
            </w:r>
            <w:proofErr w:type="spellStart"/>
            <w:r w:rsidRPr="005A1530">
              <w:rPr>
                <w:rFonts w:asciiTheme="majorHAnsi" w:hAnsiTheme="majorHAnsi" w:cstheme="majorHAnsi"/>
                <w:bCs/>
                <w:sz w:val="22"/>
                <w:szCs w:val="22"/>
                <w:lang w:eastAsia="ja-JP"/>
              </w:rPr>
              <w:t>SpHb</w:t>
            </w:r>
            <w:proofErr w:type="spellEnd"/>
            <w:r w:rsidRPr="005A1530">
              <w:rPr>
                <w:rFonts w:asciiTheme="majorHAnsi" w:hAnsiTheme="majorHAnsi" w:cstheme="majorHAnsi"/>
                <w:bCs/>
                <w:sz w:val="22"/>
                <w:szCs w:val="22"/>
                <w:lang w:eastAsia="ja-JP"/>
              </w:rPr>
              <w:t xml:space="preserve">, </w:t>
            </w:r>
            <w:proofErr w:type="spellStart"/>
            <w:r w:rsidRPr="005A1530">
              <w:rPr>
                <w:rFonts w:asciiTheme="majorHAnsi" w:hAnsiTheme="majorHAnsi" w:cstheme="majorHAnsi"/>
                <w:bCs/>
                <w:sz w:val="22"/>
                <w:szCs w:val="22"/>
                <w:lang w:eastAsia="ja-JP"/>
              </w:rPr>
              <w:t>SpMet</w:t>
            </w:r>
            <w:proofErr w:type="spellEnd"/>
            <w:r w:rsidRPr="005A1530">
              <w:rPr>
                <w:rFonts w:asciiTheme="majorHAnsi" w:hAnsiTheme="majorHAnsi" w:cstheme="majorHAnsi"/>
                <w:bCs/>
                <w:sz w:val="22"/>
                <w:szCs w:val="22"/>
                <w:lang w:eastAsia="ja-JP"/>
              </w:rPr>
              <w:t xml:space="preserve">, </w:t>
            </w:r>
            <w:proofErr w:type="spellStart"/>
            <w:r w:rsidRPr="005A1530">
              <w:rPr>
                <w:rFonts w:asciiTheme="majorHAnsi" w:hAnsiTheme="majorHAnsi" w:cstheme="majorHAnsi"/>
                <w:bCs/>
                <w:sz w:val="22"/>
                <w:szCs w:val="22"/>
                <w:lang w:eastAsia="ja-JP"/>
              </w:rPr>
              <w:t>SpCO</w:t>
            </w:r>
            <w:proofErr w:type="spellEnd"/>
            <w:r w:rsidRPr="005A1530">
              <w:rPr>
                <w:rFonts w:asciiTheme="majorHAnsi" w:hAnsiTheme="majorHAnsi" w:cstheme="majorHAnsi"/>
                <w:bCs/>
                <w:sz w:val="22"/>
                <w:szCs w:val="22"/>
                <w:lang w:eastAsia="ja-JP"/>
              </w:rPr>
              <w:t xml:space="preserve">, </w:t>
            </w:r>
            <w:proofErr w:type="spellStart"/>
            <w:r w:rsidRPr="005A1530">
              <w:rPr>
                <w:rFonts w:asciiTheme="majorHAnsi" w:hAnsiTheme="majorHAnsi" w:cstheme="majorHAnsi"/>
                <w:bCs/>
                <w:sz w:val="22"/>
                <w:szCs w:val="22"/>
                <w:lang w:eastAsia="ja-JP"/>
              </w:rPr>
              <w:t>SpOC</w:t>
            </w:r>
            <w:proofErr w:type="spellEnd"/>
            <w:r w:rsidRPr="005A1530">
              <w:rPr>
                <w:rFonts w:asciiTheme="majorHAnsi" w:hAnsiTheme="majorHAnsi" w:cstheme="majorHAnsi"/>
                <w:bCs/>
                <w:sz w:val="22"/>
                <w:szCs w:val="22"/>
                <w:lang w:eastAsia="ja-JP"/>
              </w:rPr>
              <w:t xml:space="preserve">) oraz parametry dodatkowe tj. </w:t>
            </w:r>
            <w:proofErr w:type="spellStart"/>
            <w:r w:rsidRPr="005A1530">
              <w:rPr>
                <w:rFonts w:asciiTheme="majorHAnsi" w:hAnsiTheme="majorHAnsi" w:cstheme="majorHAnsi"/>
                <w:bCs/>
                <w:sz w:val="22"/>
                <w:szCs w:val="22"/>
                <w:lang w:eastAsia="ja-JP"/>
              </w:rPr>
              <w:t>RRa</w:t>
            </w:r>
            <w:proofErr w:type="spellEnd"/>
            <w:r w:rsidRPr="005A1530">
              <w:rPr>
                <w:rFonts w:asciiTheme="majorHAnsi" w:hAnsiTheme="majorHAnsi" w:cstheme="majorHAnsi"/>
                <w:bCs/>
                <w:sz w:val="22"/>
                <w:szCs w:val="22"/>
                <w:lang w:eastAsia="ja-JP"/>
              </w:rPr>
              <w:t xml:space="preserve">, PVI (w przypadku saturacji </w:t>
            </w:r>
            <w:proofErr w:type="spellStart"/>
            <w:r w:rsidRPr="005A1530">
              <w:rPr>
                <w:rFonts w:asciiTheme="majorHAnsi" w:hAnsiTheme="majorHAnsi" w:cstheme="majorHAnsi"/>
                <w:bCs/>
                <w:sz w:val="22"/>
                <w:szCs w:val="22"/>
                <w:lang w:eastAsia="ja-JP"/>
              </w:rPr>
              <w:t>Masimo</w:t>
            </w:r>
            <w:proofErr w:type="spellEnd"/>
            <w:r w:rsidRPr="005A1530">
              <w:rPr>
                <w:rFonts w:asciiTheme="majorHAnsi" w:hAnsiTheme="majorHAnsi" w:cstheme="majorHAnsi"/>
                <w:bCs/>
                <w:sz w:val="22"/>
                <w:szCs w:val="22"/>
                <w:lang w:eastAsia="ja-JP"/>
              </w:rPr>
              <w:t xml:space="preserve"> </w:t>
            </w:r>
            <w:proofErr w:type="spellStart"/>
            <w:r w:rsidRPr="005A1530">
              <w:rPr>
                <w:rFonts w:asciiTheme="majorHAnsi" w:hAnsiTheme="majorHAnsi" w:cstheme="majorHAnsi"/>
                <w:bCs/>
                <w:sz w:val="22"/>
                <w:szCs w:val="22"/>
                <w:lang w:eastAsia="ja-JP"/>
              </w:rPr>
              <w:t>Rainbow</w:t>
            </w:r>
            <w:proofErr w:type="spellEnd"/>
            <w:r w:rsidRPr="005A1530">
              <w:rPr>
                <w:rFonts w:asciiTheme="majorHAnsi" w:hAnsiTheme="majorHAnsi" w:cstheme="majorHAnsi"/>
                <w:bCs/>
                <w:sz w:val="22"/>
                <w:szCs w:val="22"/>
                <w:lang w:eastAsia="ja-JP"/>
              </w:rPr>
              <w:t xml:space="preserve"> SET).</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 xml:space="preserve">Możliwość dostępna na etapie składania oferty.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TAK/NIE</w:t>
            </w:r>
          </w:p>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Parametr oceniany:</w:t>
            </w:r>
          </w:p>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Tak – 5 pkt</w:t>
            </w:r>
          </w:p>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sz w:val="22"/>
                <w:szCs w:val="22"/>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22062">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sz w:val="22"/>
                <w:szCs w:val="22"/>
                <w:lang w:eastAsia="ja-JP"/>
              </w:rPr>
              <w:t>Pomiar ciśnienia nieinwazyjnego (NIBP)</w:t>
            </w:r>
            <w:r w:rsidRPr="005A1530">
              <w:rPr>
                <w:rFonts w:asciiTheme="majorHAnsi" w:hAnsiTheme="majorHAnsi" w:cstheme="majorHAnsi"/>
                <w:sz w:val="22"/>
                <w:szCs w:val="22"/>
                <w:lang w:eastAsia="ja-JP"/>
              </w:rPr>
              <w:br/>
              <w:t xml:space="preserve">Pomiar ciśnienia w zakresie min. 10-270 mmHg, maksymalny błąd średni nie większy niż 5 mmHg. Typowy czas pomiaru nie dłuższy niż 30 sekund; funkcja </w:t>
            </w:r>
            <w:proofErr w:type="spellStart"/>
            <w:r w:rsidRPr="005A1530">
              <w:rPr>
                <w:rFonts w:asciiTheme="majorHAnsi" w:hAnsiTheme="majorHAnsi" w:cstheme="majorHAnsi"/>
                <w:sz w:val="22"/>
                <w:szCs w:val="22"/>
                <w:lang w:eastAsia="ja-JP"/>
              </w:rPr>
              <w:t>stazy</w:t>
            </w:r>
            <w:proofErr w:type="spellEnd"/>
            <w:r w:rsidRPr="005A1530">
              <w:rPr>
                <w:rFonts w:asciiTheme="majorHAnsi" w:hAnsiTheme="majorHAnsi" w:cstheme="majorHAnsi"/>
                <w:sz w:val="22"/>
                <w:szCs w:val="22"/>
                <w:lang w:eastAsia="ja-JP"/>
              </w:rPr>
              <w:t xml:space="preserve"> ułatwiająca nakłucie żyły. Zabezpieczenie przed zbyt wysokim ciśnieniem w mankiecie.</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Programowane odstępy między pomiarami automatycznymi w zakresie min. od 1 minuty do 24 godz.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TAK/NIE</w:t>
            </w:r>
          </w:p>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Parametr oceniany:</w:t>
            </w:r>
          </w:p>
          <w:p w:rsidR="00FE62B7" w:rsidRPr="00FE62B7"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Tak – 5 pkt</w:t>
            </w:r>
          </w:p>
          <w:p w:rsidR="00A773CD" w:rsidRPr="005A1530" w:rsidRDefault="00FE62B7" w:rsidP="00FE62B7">
            <w:pPr>
              <w:jc w:val="center"/>
              <w:rPr>
                <w:rFonts w:asciiTheme="majorHAnsi" w:hAnsiTheme="majorHAnsi" w:cstheme="majorHAnsi"/>
                <w:color w:val="000000"/>
                <w:sz w:val="22"/>
                <w:szCs w:val="22"/>
                <w:lang w:eastAsia="ja-JP"/>
              </w:rPr>
            </w:pPr>
            <w:r w:rsidRPr="00FE62B7">
              <w:rPr>
                <w:rFonts w:asciiTheme="majorHAnsi" w:hAnsiTheme="majorHAnsi" w:cstheme="majorHAnsi"/>
                <w:color w:val="000000"/>
                <w:sz w:val="22"/>
                <w:szCs w:val="22"/>
                <w:lang w:eastAsia="ja-JP"/>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programowania sekwencji pomiarowych (np. 3 pomiary co 15 minut, następnie 3 pomiary co 2 godziny itp.) w trybie automatycznym.</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Wyświetlanie tabeli zawierającej wyniki poprzednich pomiarów ciśnienia na ekranie głównym obok aktualnie mierzonych wartości.</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sz w:val="22"/>
                <w:szCs w:val="22"/>
                <w:lang w:eastAsia="ja-JP"/>
              </w:rPr>
              <w:t>Pomiar temperatury (TEMP)</w:t>
            </w:r>
            <w:r w:rsidRPr="005A1530">
              <w:rPr>
                <w:rFonts w:asciiTheme="majorHAnsi" w:hAnsiTheme="majorHAnsi" w:cstheme="majorHAnsi"/>
                <w:sz w:val="22"/>
                <w:szCs w:val="22"/>
                <w:lang w:eastAsia="ja-JP"/>
              </w:rPr>
              <w:br/>
              <w:t>Pomiar w 2 kanałach w zakresie min. 0-45°C, dokładność nie gorsza niż 0,1°C. Możliwość wyboru etykiet temperatury (min. 15 etykiet).</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Możliwość podłączenia do 4 pomiarów temperatury równocześnie.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b/>
                <w:bCs/>
                <w:sz w:val="22"/>
                <w:szCs w:val="22"/>
                <w:lang w:eastAsia="ja-JP"/>
              </w:rPr>
              <w:t>Pomiar ciśnienia inwazyjnego (IBP)</w:t>
            </w:r>
            <w:r w:rsidRPr="005A1530">
              <w:rPr>
                <w:rFonts w:asciiTheme="majorHAnsi" w:hAnsiTheme="majorHAnsi" w:cstheme="majorHAnsi"/>
                <w:sz w:val="22"/>
                <w:szCs w:val="22"/>
                <w:lang w:eastAsia="ja-JP"/>
              </w:rPr>
              <w:br/>
              <w:t xml:space="preserve">Pomiar w min. 2 kanałach z możliwością rozszerzenia do 8 kanałów poprzez kable rozdzielające oraz moduły dodatkowe. Pomiar w zakresie min. od -40 do +360 mmHg, dokładność całkowita (z przetwornikiem) nie gorsza niż +/-4% lub +/-4mmHg. Obliczanie CPP i PPV. Obliczanie ciśnienia zaklinowania tętnicy płucnej. Możliwość ustawienia do min. 30 różnych etykiet dla ciśnień inwazyjnych. </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Do każdego kardiomonitora po dwa kable połączeniowe w technologii Edwards lub równoważne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 xml:space="preserve">Możliwość rozbudowy. Możliwość rozbudowy o Pomiar rzutu serca </w:t>
            </w:r>
            <w:proofErr w:type="spellStart"/>
            <w:r w:rsidRPr="005A1530">
              <w:rPr>
                <w:rFonts w:asciiTheme="majorHAnsi" w:hAnsiTheme="majorHAnsi" w:cstheme="majorHAnsi"/>
                <w:b/>
                <w:bCs/>
                <w:sz w:val="22"/>
                <w:szCs w:val="22"/>
                <w:lang w:eastAsia="ja-JP"/>
              </w:rPr>
              <w:t>Picco</w:t>
            </w:r>
            <w:proofErr w:type="spellEnd"/>
            <w:r w:rsidRPr="005A1530">
              <w:rPr>
                <w:rFonts w:asciiTheme="majorHAnsi" w:hAnsiTheme="majorHAnsi" w:cstheme="majorHAnsi"/>
                <w:b/>
                <w:bCs/>
                <w:sz w:val="22"/>
                <w:szCs w:val="22"/>
                <w:lang w:eastAsia="ja-JP"/>
              </w:rPr>
              <w:t xml:space="preserve"> / C.O.</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sz w:val="22"/>
                <w:szCs w:val="22"/>
                <w:lang w:eastAsia="ja-JP"/>
              </w:rPr>
              <w:t xml:space="preserve">Pomiar przy pomocy modułu w postaci kostki / modułu rozszerzeń przenoszonej pomiędzy kardiomonitorami, pełna obsługa z ekranu kardiomonitora. </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TAK,  </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 xml:space="preserve">Możliwość rozbudowy. Pomiar kapnografii (etCO2) </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Pomiar w technologii umożliwiającej monitorowanie pacjentów zaintubowanych oraz niezaintubowanych (</w:t>
            </w:r>
            <w:proofErr w:type="spellStart"/>
            <w:r w:rsidRPr="005A1530">
              <w:rPr>
                <w:rFonts w:asciiTheme="majorHAnsi" w:hAnsiTheme="majorHAnsi" w:cstheme="majorHAnsi"/>
                <w:bCs/>
                <w:sz w:val="22"/>
                <w:szCs w:val="22"/>
                <w:lang w:eastAsia="ja-JP"/>
              </w:rPr>
              <w:t>Microstream</w:t>
            </w:r>
            <w:proofErr w:type="spellEnd"/>
            <w:r w:rsidRPr="005A1530">
              <w:rPr>
                <w:rFonts w:asciiTheme="majorHAnsi" w:hAnsiTheme="majorHAnsi" w:cstheme="majorHAnsi"/>
                <w:bCs/>
                <w:sz w:val="22"/>
                <w:szCs w:val="22"/>
                <w:lang w:eastAsia="ja-JP"/>
              </w:rPr>
              <w:t xml:space="preserve"> lub </w:t>
            </w:r>
            <w:proofErr w:type="spellStart"/>
            <w:r w:rsidRPr="005A1530">
              <w:rPr>
                <w:rFonts w:asciiTheme="majorHAnsi" w:hAnsiTheme="majorHAnsi" w:cstheme="majorHAnsi"/>
                <w:bCs/>
                <w:sz w:val="22"/>
                <w:szCs w:val="22"/>
                <w:lang w:eastAsia="ja-JP"/>
              </w:rPr>
              <w:t>Phasin</w:t>
            </w:r>
            <w:proofErr w:type="spellEnd"/>
            <w:r w:rsidRPr="005A1530">
              <w:rPr>
                <w:rFonts w:asciiTheme="majorHAnsi" w:hAnsiTheme="majorHAnsi" w:cstheme="majorHAnsi"/>
                <w:bCs/>
                <w:sz w:val="22"/>
                <w:szCs w:val="22"/>
                <w:lang w:eastAsia="ja-JP"/>
              </w:rPr>
              <w:t xml:space="preserve"> lub strumień boczny). Moduł przenoszony pomiędzy kardiomonitorami z możliwością pracy w transporcie razem z monitorem transportowym. </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738C3">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Pomiar ciśnienia śródczaszkowego ICP w jednym module przenoszonym między kardiomonitorami.</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Możliwość rozbudowy o</w:t>
            </w:r>
          </w:p>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 xml:space="preserve">Pomiar czynności mózgu (BIS lub </w:t>
            </w:r>
            <w:proofErr w:type="spellStart"/>
            <w:r w:rsidRPr="005A1530">
              <w:rPr>
                <w:rFonts w:asciiTheme="majorHAnsi" w:hAnsiTheme="majorHAnsi" w:cstheme="majorHAnsi"/>
                <w:b/>
                <w:bCs/>
                <w:sz w:val="22"/>
                <w:szCs w:val="22"/>
                <w:lang w:eastAsia="ja-JP"/>
              </w:rPr>
              <w:t>SedLine</w:t>
            </w:r>
            <w:proofErr w:type="spellEnd"/>
            <w:r w:rsidRPr="005A1530">
              <w:rPr>
                <w:rFonts w:asciiTheme="majorHAnsi" w:hAnsiTheme="majorHAnsi" w:cstheme="majorHAnsi"/>
                <w:b/>
                <w:bCs/>
                <w:sz w:val="22"/>
                <w:szCs w:val="22"/>
                <w:lang w:eastAsia="ja-JP"/>
              </w:rPr>
              <w:t>)</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 xml:space="preserve">Pomiar przy pomocy modułu w postaci kostki przenoszonej pomiędzy kardiomonitorami, pełna obsługa z ekranu kardiomonitora. Nie dopuszcza się urządzeń zewnętrznych. Możliwość prezentacji krzywej EEG oraz min. następujących parametrów: PSI, EMG, SR, SEF L/SEF R. </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TAK, </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Możliwość rozbudowy o</w:t>
            </w:r>
          </w:p>
          <w:p w:rsidR="00A773CD" w:rsidRPr="005A1530" w:rsidRDefault="00A773CD" w:rsidP="00A773CD">
            <w:pPr>
              <w:rPr>
                <w:rFonts w:asciiTheme="majorHAnsi" w:hAnsiTheme="majorHAnsi" w:cstheme="majorHAnsi"/>
                <w:b/>
                <w:bCs/>
                <w:sz w:val="22"/>
                <w:szCs w:val="22"/>
                <w:lang w:eastAsia="ja-JP"/>
              </w:rPr>
            </w:pPr>
          </w:p>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Pomiar regionalnej saturacji tlenowej (oksymetria regionalna O3)</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 xml:space="preserve">Pomiar przy pomocy modułu w postaci kostki przenoszonej pomiędzy kardiomonitorami, pełna obsługa z ekranu kardiomonitora. W przypadku urządzeń zewnętrznych należy zaoferować funkcjonalność wyświetlania danych na kardiomonitorze głównym wraz z możliwością integracji tych danych. </w:t>
            </w:r>
          </w:p>
          <w:p w:rsidR="00A773CD" w:rsidRPr="005A1530" w:rsidRDefault="00A773CD" w:rsidP="00A773CD">
            <w:pPr>
              <w:rPr>
                <w:rFonts w:asciiTheme="majorHAnsi" w:hAnsiTheme="majorHAnsi" w:cstheme="majorHAnsi"/>
                <w:bCs/>
                <w:sz w:val="22"/>
                <w:szCs w:val="22"/>
                <w:lang w:eastAsia="ja-JP"/>
              </w:rPr>
            </w:pPr>
            <w:r w:rsidRPr="005A1530">
              <w:rPr>
                <w:rFonts w:asciiTheme="majorHAnsi" w:hAnsiTheme="majorHAnsi" w:cstheme="majorHAnsi"/>
                <w:bCs/>
                <w:sz w:val="22"/>
                <w:szCs w:val="22"/>
                <w:lang w:eastAsia="ja-JP"/>
              </w:rPr>
              <w:t xml:space="preserve">Prezentacja min. następujących odczytów numerycznych: rSO2, AUC, delta </w:t>
            </w:r>
            <w:proofErr w:type="spellStart"/>
            <w:r w:rsidRPr="005A1530">
              <w:rPr>
                <w:rFonts w:asciiTheme="majorHAnsi" w:hAnsiTheme="majorHAnsi" w:cstheme="majorHAnsi"/>
                <w:bCs/>
                <w:sz w:val="22"/>
                <w:szCs w:val="22"/>
                <w:lang w:eastAsia="ja-JP"/>
              </w:rPr>
              <w:t>Bsl</w:t>
            </w:r>
            <w:proofErr w:type="spellEnd"/>
            <w:r w:rsidRPr="005A1530">
              <w:rPr>
                <w:rFonts w:asciiTheme="majorHAnsi" w:hAnsiTheme="majorHAnsi" w:cstheme="majorHAnsi"/>
                <w:bCs/>
                <w:sz w:val="22"/>
                <w:szCs w:val="22"/>
                <w:lang w:eastAsia="ja-JP"/>
              </w:rPr>
              <w:t>, ręcznie ustawiana wartość wyjściowa pomiaru rSO2. Możliwość rozbudowy o podłączenie do 2 czujników do oksymetrii regionalnej celem jednoczesnego prowadzenia dwóch pomiarów rSO2.</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TAK, </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rozbudowy o dostęp na ekranie kardiomonitora do danych ze szpitalnego systemu informatycznego (np. wyników badań laboratoryjnych, obrazowych itp.).</w:t>
            </w:r>
          </w:p>
        </w:tc>
        <w:tc>
          <w:tcPr>
            <w:tcW w:w="2128" w:type="dxa"/>
            <w:tcBorders>
              <w:top w:val="single" w:sz="4" w:space="0" w:color="000000"/>
              <w:left w:val="single" w:sz="4" w:space="0" w:color="000000"/>
              <w:bottom w:val="single" w:sz="4" w:space="0" w:color="000000"/>
              <w:right w:val="single" w:sz="4" w:space="0" w:color="000000"/>
            </w:tcBorders>
            <w:vAlign w:val="center"/>
          </w:tcPr>
          <w:p w:rsidR="00FE62B7" w:rsidRPr="005A1530" w:rsidRDefault="00091C96" w:rsidP="00FE62B7">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p w:rsidR="00A773CD" w:rsidRPr="005A1530" w:rsidRDefault="00A773CD" w:rsidP="00091C96">
            <w:pPr>
              <w:jc w:val="center"/>
              <w:rPr>
                <w:rFonts w:asciiTheme="majorHAnsi" w:hAnsiTheme="majorHAnsi" w:cstheme="majorHAnsi"/>
                <w:sz w:val="22"/>
                <w:szCs w:val="22"/>
                <w:lang w:eastAsia="ja-JP"/>
              </w:rPr>
            </w:pP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Możliwość rozbudowy o dodatkowy aktywny wyświetlacz o takiej samej konstrukcji (min. IP21, rozdzielczość </w:t>
            </w:r>
            <w:proofErr w:type="spellStart"/>
            <w:r w:rsidRPr="005A1530">
              <w:rPr>
                <w:rFonts w:asciiTheme="majorHAnsi" w:hAnsiTheme="majorHAnsi" w:cstheme="majorHAnsi"/>
                <w:sz w:val="22"/>
                <w:szCs w:val="22"/>
                <w:lang w:eastAsia="ja-JP"/>
              </w:rPr>
              <w:t>full</w:t>
            </w:r>
            <w:proofErr w:type="spellEnd"/>
            <w:r w:rsidRPr="005A1530">
              <w:rPr>
                <w:rFonts w:asciiTheme="majorHAnsi" w:hAnsiTheme="majorHAnsi" w:cstheme="majorHAnsi"/>
                <w:sz w:val="22"/>
                <w:szCs w:val="22"/>
                <w:lang w:eastAsia="ja-JP"/>
              </w:rPr>
              <w:t xml:space="preserve"> HD i min. 19”) z możliwością niezależnego wyświetlania danych oraz transfer alarmów. Produkt medyczny dedykowany i certyfikowany przez tego samego producenta. Komunikacja z kardiomonitorem poprzez szyfrowane połącznie sieciowe (</w:t>
            </w:r>
            <w:proofErr w:type="spellStart"/>
            <w:r w:rsidRPr="005A1530">
              <w:rPr>
                <w:rFonts w:asciiTheme="majorHAnsi" w:hAnsiTheme="majorHAnsi" w:cstheme="majorHAnsi"/>
                <w:sz w:val="22"/>
                <w:szCs w:val="22"/>
                <w:lang w:eastAsia="ja-JP"/>
              </w:rPr>
              <w:t>przesył</w:t>
            </w:r>
            <w:proofErr w:type="spellEnd"/>
            <w:r w:rsidRPr="005A1530">
              <w:rPr>
                <w:rFonts w:asciiTheme="majorHAnsi" w:hAnsiTheme="majorHAnsi" w:cstheme="majorHAnsi"/>
                <w:sz w:val="22"/>
                <w:szCs w:val="22"/>
                <w:lang w:eastAsia="ja-JP"/>
              </w:rPr>
              <w:t xml:space="preserve"> alarmów również szyfrowany).</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TAK, podać </w:t>
            </w:r>
          </w:p>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Parametr oceniany: </w:t>
            </w:r>
          </w:p>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19-20” – 0 pkt</w:t>
            </w:r>
          </w:p>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&gt;21” – 5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tcBorders>
            <w:shd w:val="clear" w:color="auto" w:fill="auto"/>
          </w:tcPr>
          <w:p w:rsidR="00A773CD" w:rsidRPr="005A1530" w:rsidRDefault="00A773CD" w:rsidP="00A773CD">
            <w:pPr>
              <w:spacing w:after="40"/>
              <w:rPr>
                <w:rFonts w:asciiTheme="majorHAnsi" w:hAnsiTheme="majorHAnsi" w:cstheme="majorHAnsi"/>
                <w:sz w:val="22"/>
                <w:szCs w:val="22"/>
              </w:rPr>
            </w:pPr>
            <w:r w:rsidRPr="005A1530">
              <w:rPr>
                <w:rFonts w:asciiTheme="majorHAnsi" w:hAnsiTheme="majorHAnsi" w:cstheme="majorHAnsi"/>
                <w:sz w:val="22"/>
                <w:szCs w:val="22"/>
              </w:rPr>
              <w:t>Kardiomonitor mocowany na dedykowanym uchwycie ściennym o regulacji w min. 3 płaszczyznach. Mocowanie kardiomonitora dodatkowo wyposażone w uchwyt na kable lub koszyk na akcesoria.</w:t>
            </w:r>
          </w:p>
          <w:p w:rsidR="00A773CD" w:rsidRPr="005A1530" w:rsidRDefault="00A773CD" w:rsidP="00A773CD">
            <w:pPr>
              <w:spacing w:after="40"/>
              <w:rPr>
                <w:rFonts w:asciiTheme="majorHAnsi" w:hAnsiTheme="majorHAnsi" w:cstheme="majorHAnsi"/>
                <w:sz w:val="22"/>
                <w:szCs w:val="22"/>
              </w:rPr>
            </w:pPr>
            <w:r w:rsidRPr="005A1530">
              <w:rPr>
                <w:rFonts w:asciiTheme="majorHAnsi" w:hAnsiTheme="majorHAnsi" w:cstheme="majorHAnsi"/>
                <w:sz w:val="22"/>
                <w:szCs w:val="22"/>
              </w:rPr>
              <w:t>Do uzgodnienia z Zamawiającym na etapie dostawy.</w:t>
            </w:r>
          </w:p>
        </w:tc>
        <w:tc>
          <w:tcPr>
            <w:tcW w:w="2128" w:type="dxa"/>
            <w:tcBorders>
              <w:top w:val="nil"/>
            </w:tcBorders>
            <w:vAlign w:val="center"/>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rPr>
              <w:t>TAK</w:t>
            </w:r>
          </w:p>
          <w:p w:rsidR="00A773CD" w:rsidRPr="005A1530" w:rsidRDefault="00A773CD" w:rsidP="00A773CD">
            <w:pPr>
              <w:jc w:val="center"/>
              <w:rPr>
                <w:rFonts w:asciiTheme="majorHAnsi" w:hAnsiTheme="majorHAnsi" w:cstheme="majorHAnsi"/>
                <w:sz w:val="22"/>
                <w:szCs w:val="22"/>
              </w:rPr>
            </w:pP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Trendy graficzne i tabelaryczne mierzonych parametrów z okresu min. 96 godzin.</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6B741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rozbudowy o bezprzewodową komunikację z centralą monitorującą.</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B5EF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Aplikacje ułatwiające monitorowanie i wspierające decyzje kliniczne:</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możliwość rejestracji zdarzeń powiązanych (</w:t>
            </w:r>
            <w:proofErr w:type="spellStart"/>
            <w:r w:rsidRPr="005A1530">
              <w:rPr>
                <w:rFonts w:asciiTheme="majorHAnsi" w:hAnsiTheme="majorHAnsi" w:cstheme="majorHAnsi"/>
                <w:sz w:val="22"/>
                <w:szCs w:val="22"/>
                <w:lang w:eastAsia="ja-JP"/>
              </w:rPr>
              <w:t>apnea</w:t>
            </w:r>
            <w:proofErr w:type="spellEnd"/>
            <w:r w:rsidRPr="005A1530">
              <w:rPr>
                <w:rFonts w:asciiTheme="majorHAnsi" w:hAnsiTheme="majorHAnsi" w:cstheme="majorHAnsi"/>
                <w:sz w:val="22"/>
                <w:szCs w:val="22"/>
                <w:lang w:eastAsia="ja-JP"/>
              </w:rPr>
              <w:t xml:space="preserve">, bradykardia, </w:t>
            </w:r>
            <w:proofErr w:type="spellStart"/>
            <w:r w:rsidRPr="005A1530">
              <w:rPr>
                <w:rFonts w:asciiTheme="majorHAnsi" w:hAnsiTheme="majorHAnsi" w:cstheme="majorHAnsi"/>
                <w:sz w:val="22"/>
                <w:szCs w:val="22"/>
                <w:lang w:eastAsia="ja-JP"/>
              </w:rPr>
              <w:t>desaturacja</w:t>
            </w:r>
            <w:proofErr w:type="spellEnd"/>
            <w:r w:rsidRPr="005A1530">
              <w:rPr>
                <w:rFonts w:asciiTheme="majorHAnsi" w:hAnsiTheme="majorHAnsi" w:cstheme="majorHAnsi"/>
                <w:sz w:val="22"/>
                <w:szCs w:val="22"/>
                <w:lang w:eastAsia="ja-JP"/>
              </w:rPr>
              <w:t>) z okresu min. 24 godzin; możliwość edycji kryteriów</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możliwość wyświetlania histogramów danych saturacji</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możliwość rozbudowy o aplikację typu EWS – wczesnego ostrzegania o pogorszającym się stanie pacjenta</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możliwość ustawienia dowolnych stoperów i zegarów.</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B5EF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rozbudowy o funkcję zintegrowanego komputera z niezależnym od systemu kardiomonitora systemem operacyjnym, pozwalającego na instalację własnych aplikacji Użytkownika oraz dostęp do aplikacji znajdujących się w sieci informatycznej szpitala bezpośrednio przy łóżku pacjenta.</w:t>
            </w:r>
          </w:p>
        </w:tc>
        <w:tc>
          <w:tcPr>
            <w:tcW w:w="2128" w:type="dxa"/>
            <w:tcBorders>
              <w:top w:val="single" w:sz="4" w:space="0" w:color="000000"/>
              <w:left w:val="single" w:sz="4" w:space="0" w:color="000000"/>
              <w:bottom w:val="single" w:sz="4" w:space="0" w:color="000000"/>
              <w:right w:val="single" w:sz="4" w:space="0" w:color="000000"/>
            </w:tcBorders>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B5EF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Możliwość doposażenia w kolejne moduły pomiarowe innych parametrów NMT, EEG, moduł gazów anestetycznych, moduł drukarki termicznej.</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B5EF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Możliwość rozbudowy o moduł lub urządzenie zewnętrzne umożliwiające </w:t>
            </w:r>
            <w:r w:rsidRPr="005A1530">
              <w:rPr>
                <w:rFonts w:asciiTheme="majorHAnsi" w:hAnsiTheme="majorHAnsi" w:cstheme="majorHAnsi"/>
                <w:bCs/>
                <w:sz w:val="22"/>
                <w:szCs w:val="22"/>
                <w:lang w:eastAsia="ja-JP"/>
              </w:rPr>
              <w:t>pomiaru bólu</w:t>
            </w:r>
            <w:r w:rsidRPr="005A1530">
              <w:rPr>
                <w:rFonts w:asciiTheme="majorHAnsi" w:hAnsiTheme="majorHAnsi" w:cstheme="majorHAnsi"/>
                <w:sz w:val="22"/>
                <w:szCs w:val="22"/>
                <w:lang w:eastAsia="ja-JP"/>
              </w:rPr>
              <w:t xml:space="preserve"> poprzez wykrywanie zmian przewodnictwa skóry bezpośrednio korelujących ze współczulnym układem nerwowym skóry. Prezentacji danych na ekranie kardiomonitora głównego. Możliwość prezentacji min. parametrów dotyczących poziomu bólu, indeksu wybudzenia oraz indeksu blokady nerwowej. Pomiar niezależny od niestabilności hemodynamicznej lub oddechowej.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sz w:val="22"/>
                <w:szCs w:val="22"/>
                <w:lang w:eastAsia="ja-JP"/>
              </w:rPr>
            </w:pPr>
            <w:r w:rsidRPr="005A1530">
              <w:rPr>
                <w:rFonts w:asciiTheme="majorHAnsi" w:hAnsiTheme="majorHAnsi" w:cstheme="majorHAnsi"/>
                <w:sz w:val="22"/>
                <w:szCs w:val="22"/>
                <w:lang w:eastAsia="ja-JP"/>
              </w:rPr>
              <w:t>TAK/NIE</w:t>
            </w:r>
          </w:p>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 xml:space="preserve">Parametr oceniany: </w:t>
            </w:r>
          </w:p>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Pomiar wszystkich grup wiekowych: TAK – 10 pkt</w:t>
            </w:r>
          </w:p>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NIE – 0 pkt</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9B5EFB">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b/>
                <w:bCs/>
                <w:sz w:val="22"/>
                <w:szCs w:val="22"/>
                <w:lang w:eastAsia="ja-JP"/>
              </w:rPr>
              <w:t>Na wyposażeniu zaoferowanego monitora muszą znajdować się następujące akcesoria pomiarowe:</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 wielorazowy przewód główny EKG </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 wielorazowe </w:t>
            </w:r>
            <w:proofErr w:type="spellStart"/>
            <w:r w:rsidRPr="005A1530">
              <w:rPr>
                <w:rFonts w:asciiTheme="majorHAnsi" w:hAnsiTheme="majorHAnsi" w:cstheme="majorHAnsi"/>
                <w:sz w:val="22"/>
                <w:szCs w:val="22"/>
                <w:lang w:eastAsia="ja-JP"/>
              </w:rPr>
              <w:t>odpr</w:t>
            </w:r>
            <w:proofErr w:type="spellEnd"/>
            <w:r w:rsidRPr="005A1530">
              <w:rPr>
                <w:rFonts w:asciiTheme="majorHAnsi" w:hAnsiTheme="majorHAnsi" w:cstheme="majorHAnsi"/>
                <w:sz w:val="22"/>
                <w:szCs w:val="22"/>
                <w:lang w:eastAsia="ja-JP"/>
              </w:rPr>
              <w:t xml:space="preserve">. EKG 5-lead oraz 10 </w:t>
            </w:r>
            <w:proofErr w:type="spellStart"/>
            <w:r w:rsidRPr="005A1530">
              <w:rPr>
                <w:rFonts w:asciiTheme="majorHAnsi" w:hAnsiTheme="majorHAnsi" w:cstheme="majorHAnsi"/>
                <w:sz w:val="22"/>
                <w:szCs w:val="22"/>
                <w:lang w:eastAsia="ja-JP"/>
              </w:rPr>
              <w:t>Lead</w:t>
            </w:r>
            <w:proofErr w:type="spellEnd"/>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wielorazowy przewód do podłączenia wielorazowych mankietów do nieinwazyjnego pomiaru ciśnienia krwi</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zestaw wielorazowych mankietów dla (3 rozmiary)</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czujnik saturacji dla dorosłych wielorazowy gumowy</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czujnik temperatury wielorazowy skórny</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przewód do ciśnienia krwawego typu Edwards lub równoważny, dwa gniazda IBP</w:t>
            </w:r>
          </w:p>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 xml:space="preserve">- dodatkowe 2 </w:t>
            </w:r>
            <w:proofErr w:type="spellStart"/>
            <w:r w:rsidRPr="005A1530">
              <w:rPr>
                <w:rFonts w:asciiTheme="majorHAnsi" w:hAnsiTheme="majorHAnsi" w:cstheme="majorHAnsi"/>
                <w:sz w:val="22"/>
                <w:szCs w:val="22"/>
                <w:lang w:eastAsia="ja-JP"/>
              </w:rPr>
              <w:t>szt</w:t>
            </w:r>
            <w:proofErr w:type="spellEnd"/>
            <w:r w:rsidRPr="005A1530">
              <w:rPr>
                <w:rFonts w:asciiTheme="majorHAnsi" w:hAnsiTheme="majorHAnsi" w:cstheme="majorHAnsi"/>
                <w:sz w:val="22"/>
                <w:szCs w:val="22"/>
                <w:lang w:eastAsia="ja-JP"/>
              </w:rPr>
              <w:t xml:space="preserve"> monitorów 6,1’umożliwiające transport między szpitalny wyposażony w uchwyty oraz ładowarki. </w:t>
            </w:r>
          </w:p>
          <w:p w:rsidR="00A773CD" w:rsidRPr="005A1530" w:rsidRDefault="00A773CD" w:rsidP="00A773CD">
            <w:pPr>
              <w:rPr>
                <w:rFonts w:asciiTheme="majorHAnsi" w:hAnsiTheme="majorHAnsi" w:cstheme="majorHAnsi"/>
                <w:sz w:val="22"/>
                <w:szCs w:val="22"/>
                <w:lang w:eastAsia="ja-JP"/>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E1AE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b/>
                <w:bCs/>
                <w:sz w:val="22"/>
                <w:szCs w:val="22"/>
                <w:lang w:eastAsia="ja-JP"/>
              </w:rPr>
            </w:pPr>
            <w:r w:rsidRPr="005A1530">
              <w:rPr>
                <w:rFonts w:asciiTheme="majorHAnsi" w:hAnsiTheme="majorHAnsi" w:cstheme="majorHAnsi"/>
                <w:sz w:val="22"/>
                <w:szCs w:val="22"/>
                <w:lang w:eastAsia="ja-JP"/>
              </w:rPr>
              <w:t>Licencje na kardiomonitory tzn. serwerowe, które będą znajdować się na przestrzeni dyskowej Zamawiającego w miejscu wyznaczonym przez dział IT.</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color w:val="000000"/>
                <w:sz w:val="22"/>
                <w:szCs w:val="22"/>
                <w:lang w:eastAsia="ja-JP"/>
              </w:rPr>
            </w:pPr>
            <w:r w:rsidRPr="005A1530">
              <w:rPr>
                <w:rFonts w:asciiTheme="majorHAnsi" w:hAnsiTheme="majorHAnsi" w:cstheme="majorHAnsi"/>
                <w:color w:val="000000"/>
                <w:sz w:val="22"/>
                <w:szCs w:val="22"/>
                <w:lang w:eastAsia="ja-JP"/>
              </w:rPr>
              <w:t>TAK</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tr w:rsidR="00A773CD" w:rsidRPr="005A1530" w:rsidTr="005E1AE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A773CD" w:rsidRPr="005A1530" w:rsidRDefault="00A773CD" w:rsidP="00A773CD">
            <w:pPr>
              <w:pStyle w:val="Akapitzlist"/>
              <w:numPr>
                <w:ilvl w:val="0"/>
                <w:numId w:val="8"/>
              </w:numPr>
              <w:spacing w:after="0" w:line="240" w:lineRule="auto"/>
              <w:ind w:left="357" w:hanging="357"/>
              <w:rPr>
                <w:rFonts w:asciiTheme="majorHAnsi" w:hAnsiTheme="majorHAnsi" w:cstheme="majorHAnsi"/>
                <w:bCs/>
              </w:rPr>
            </w:pPr>
          </w:p>
        </w:tc>
        <w:tc>
          <w:tcPr>
            <w:tcW w:w="5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rPr>
                <w:rFonts w:asciiTheme="majorHAnsi" w:hAnsiTheme="majorHAnsi" w:cstheme="majorHAnsi"/>
                <w:sz w:val="22"/>
                <w:szCs w:val="22"/>
                <w:lang w:eastAsia="ja-JP"/>
              </w:rPr>
            </w:pPr>
            <w:r w:rsidRPr="005A1530">
              <w:rPr>
                <w:rFonts w:asciiTheme="majorHAnsi" w:hAnsiTheme="majorHAnsi" w:cstheme="majorHAnsi"/>
                <w:sz w:val="22"/>
                <w:szCs w:val="22"/>
                <w:lang w:eastAsia="ja-JP"/>
              </w:rPr>
              <w:t>Gwarancja minimum 24 miesiące</w:t>
            </w:r>
          </w:p>
        </w:tc>
        <w:tc>
          <w:tcPr>
            <w:tcW w:w="2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73CD" w:rsidRPr="005A1530" w:rsidRDefault="00A773CD" w:rsidP="00A773CD">
            <w:pPr>
              <w:jc w:val="center"/>
              <w:rPr>
                <w:rFonts w:asciiTheme="majorHAnsi" w:hAnsiTheme="majorHAnsi" w:cstheme="majorHAnsi"/>
                <w:sz w:val="22"/>
                <w:szCs w:val="22"/>
              </w:rPr>
            </w:pPr>
            <w:r w:rsidRPr="005A1530">
              <w:rPr>
                <w:rFonts w:asciiTheme="majorHAnsi" w:hAnsiTheme="majorHAnsi" w:cstheme="majorHAnsi"/>
                <w:sz w:val="22"/>
                <w:szCs w:val="22"/>
                <w:lang w:eastAsia="ja-JP"/>
              </w:rPr>
              <w:t>T</w:t>
            </w:r>
            <w:r w:rsidRPr="005A1530">
              <w:rPr>
                <w:rFonts w:asciiTheme="majorHAnsi" w:hAnsiTheme="majorHAnsi" w:cstheme="majorHAnsi"/>
                <w:sz w:val="22"/>
                <w:szCs w:val="22"/>
              </w:rPr>
              <w:t>AK, podać</w:t>
            </w:r>
          </w:p>
        </w:tc>
        <w:tc>
          <w:tcPr>
            <w:tcW w:w="2267" w:type="dxa"/>
            <w:tcBorders>
              <w:top w:val="single" w:sz="4" w:space="0" w:color="auto"/>
              <w:left w:val="single" w:sz="4" w:space="0" w:color="auto"/>
              <w:bottom w:val="single" w:sz="4" w:space="0" w:color="auto"/>
              <w:right w:val="single" w:sz="4" w:space="0" w:color="auto"/>
            </w:tcBorders>
          </w:tcPr>
          <w:p w:rsidR="00A773CD" w:rsidRPr="005A1530" w:rsidRDefault="00A773CD" w:rsidP="00A773CD">
            <w:pPr>
              <w:jc w:val="center"/>
              <w:rPr>
                <w:rFonts w:asciiTheme="majorHAnsi" w:hAnsiTheme="majorHAnsi" w:cstheme="majorHAnsi"/>
                <w:sz w:val="22"/>
                <w:szCs w:val="22"/>
              </w:rPr>
            </w:pPr>
          </w:p>
        </w:tc>
      </w:tr>
      <w:bookmarkEnd w:id="2"/>
    </w:tbl>
    <w:p w:rsidR="00925A70" w:rsidRPr="005A1530" w:rsidRDefault="00925A70" w:rsidP="00925A70">
      <w:pPr>
        <w:suppressAutoHyphens/>
        <w:spacing w:after="120" w:line="480" w:lineRule="auto"/>
        <w:contextualSpacing/>
        <w:rPr>
          <w:rFonts w:asciiTheme="majorHAnsi" w:eastAsia="Calibri" w:hAnsiTheme="majorHAnsi" w:cstheme="majorHAnsi"/>
          <w:b/>
          <w:sz w:val="22"/>
          <w:szCs w:val="22"/>
          <w:lang w:eastAsia="en-US"/>
        </w:rPr>
      </w:pPr>
    </w:p>
    <w:p w:rsidR="00091C96" w:rsidRPr="005A1530" w:rsidRDefault="00091C96" w:rsidP="00091C96">
      <w:pPr>
        <w:suppressAutoHyphens/>
        <w:spacing w:after="120" w:line="480" w:lineRule="auto"/>
        <w:contextualSpacing/>
        <w:jc w:val="right"/>
        <w:rPr>
          <w:rFonts w:asciiTheme="majorHAnsi" w:eastAsia="Calibri" w:hAnsiTheme="majorHAnsi" w:cstheme="majorHAnsi"/>
          <w:b/>
          <w:sz w:val="22"/>
          <w:szCs w:val="22"/>
          <w:lang w:eastAsia="en-US"/>
        </w:rPr>
      </w:pPr>
    </w:p>
    <w:p w:rsidR="00AF0F8F" w:rsidRPr="005A1530" w:rsidRDefault="00AF0F8F" w:rsidP="00091C96">
      <w:pPr>
        <w:suppressAutoHyphens/>
        <w:spacing w:after="120" w:line="480" w:lineRule="auto"/>
        <w:contextualSpacing/>
        <w:jc w:val="right"/>
        <w:rPr>
          <w:rFonts w:asciiTheme="majorHAnsi" w:eastAsia="Calibri" w:hAnsiTheme="majorHAnsi" w:cstheme="majorHAnsi"/>
          <w:b/>
          <w:sz w:val="22"/>
          <w:szCs w:val="22"/>
          <w:lang w:eastAsia="en-US"/>
        </w:rPr>
      </w:pPr>
    </w:p>
    <w:p w:rsidR="00AF0F8F" w:rsidRPr="005A1530" w:rsidRDefault="00AF0F8F" w:rsidP="00AF0F8F">
      <w:pPr>
        <w:suppressAutoHyphens/>
        <w:spacing w:after="120" w:line="480" w:lineRule="auto"/>
        <w:contextualSpacing/>
        <w:jc w:val="right"/>
        <w:rPr>
          <w:rFonts w:asciiTheme="majorHAnsi" w:eastAsia="Calibri" w:hAnsiTheme="majorHAnsi" w:cstheme="majorHAnsi"/>
          <w:b/>
          <w:sz w:val="22"/>
          <w:szCs w:val="22"/>
          <w:lang w:eastAsia="en-US"/>
        </w:rPr>
      </w:pPr>
      <w:bookmarkStart w:id="3" w:name="_Hlk220572071"/>
    </w:p>
    <w:p w:rsidR="00AF0F8F" w:rsidRPr="005A1530" w:rsidRDefault="00AF0F8F" w:rsidP="00AF0F8F">
      <w:pPr>
        <w:suppressAutoHyphens/>
        <w:spacing w:after="120" w:line="480" w:lineRule="auto"/>
        <w:contextualSpacing/>
        <w:jc w:val="right"/>
        <w:rPr>
          <w:rFonts w:asciiTheme="majorHAnsi" w:eastAsia="Calibri" w:hAnsiTheme="majorHAnsi" w:cstheme="majorHAnsi"/>
          <w:b/>
          <w:sz w:val="22"/>
          <w:szCs w:val="22"/>
          <w:lang w:eastAsia="en-US"/>
        </w:rPr>
      </w:pPr>
      <w:r w:rsidRPr="005A1530">
        <w:rPr>
          <w:rFonts w:asciiTheme="majorHAnsi" w:eastAsia="Calibri" w:hAnsiTheme="majorHAnsi" w:cstheme="majorHAnsi"/>
          <w:b/>
          <w:sz w:val="22"/>
          <w:szCs w:val="22"/>
          <w:lang w:eastAsia="en-US"/>
        </w:rPr>
        <w:t xml:space="preserve">______________________________                                                                                                                                                  Podpis osoby upoważnionej                      </w:t>
      </w:r>
      <w:bookmarkEnd w:id="3"/>
    </w:p>
    <w:sectPr w:rsidR="00AF0F8F" w:rsidRPr="005A153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A17" w:rsidRDefault="00161A17" w:rsidP="000D4E7D">
      <w:r>
        <w:separator/>
      </w:r>
    </w:p>
  </w:endnote>
  <w:endnote w:type="continuationSeparator" w:id="0">
    <w:p w:rsidR="00161A17" w:rsidRDefault="00161A17" w:rsidP="000D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A17" w:rsidRDefault="00161A17" w:rsidP="000D4E7D">
      <w:r>
        <w:separator/>
      </w:r>
    </w:p>
  </w:footnote>
  <w:footnote w:type="continuationSeparator" w:id="0">
    <w:p w:rsidR="00161A17" w:rsidRDefault="00161A17" w:rsidP="000D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7D" w:rsidRDefault="000D4E7D">
    <w:pPr>
      <w:pStyle w:val="Nagwek"/>
    </w:pPr>
    <w:r>
      <w:rPr>
        <w:noProof/>
      </w:rPr>
      <w:drawing>
        <wp:inline distT="0" distB="0" distL="0" distR="0" wp14:anchorId="3D2E1366" wp14:editId="2BAB095F">
          <wp:extent cx="5760720" cy="576318"/>
          <wp:effectExtent l="0" t="0" r="0" b="0"/>
          <wp:docPr id="303501683"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63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2CD"/>
    <w:multiLevelType w:val="hybridMultilevel"/>
    <w:tmpl w:val="9B1CE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8055D19"/>
    <w:multiLevelType w:val="hybridMultilevel"/>
    <w:tmpl w:val="C27E060E"/>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4361E3"/>
    <w:multiLevelType w:val="multilevel"/>
    <w:tmpl w:val="149C0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520811"/>
    <w:multiLevelType w:val="hybridMultilevel"/>
    <w:tmpl w:val="495CAF94"/>
    <w:lvl w:ilvl="0" w:tplc="80DC1E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16E0BDE"/>
    <w:multiLevelType w:val="hybridMultilevel"/>
    <w:tmpl w:val="9B1CE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F4A3B57"/>
    <w:multiLevelType w:val="hybridMultilevel"/>
    <w:tmpl w:val="690A121C"/>
    <w:lvl w:ilvl="0" w:tplc="0415000F">
      <w:start w:val="1"/>
      <w:numFmt w:val="decimal"/>
      <w:lvlText w:val="%1."/>
      <w:lvlJc w:val="left"/>
      <w:pPr>
        <w:ind w:left="92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699260D"/>
    <w:multiLevelType w:val="hybridMultilevel"/>
    <w:tmpl w:val="8AA8BCA6"/>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70"/>
    <w:rsid w:val="00091C96"/>
    <w:rsid w:val="000D4E7D"/>
    <w:rsid w:val="00161A17"/>
    <w:rsid w:val="0020054E"/>
    <w:rsid w:val="002B1244"/>
    <w:rsid w:val="003337F7"/>
    <w:rsid w:val="003C7977"/>
    <w:rsid w:val="004359E4"/>
    <w:rsid w:val="004A3BA6"/>
    <w:rsid w:val="00510005"/>
    <w:rsid w:val="005A1530"/>
    <w:rsid w:val="006560C3"/>
    <w:rsid w:val="00823C89"/>
    <w:rsid w:val="00925A70"/>
    <w:rsid w:val="00A773CD"/>
    <w:rsid w:val="00AF0F8F"/>
    <w:rsid w:val="00B73A73"/>
    <w:rsid w:val="00CA1B8F"/>
    <w:rsid w:val="00CF2B4A"/>
    <w:rsid w:val="00D129F8"/>
    <w:rsid w:val="00E54A43"/>
    <w:rsid w:val="00EE1528"/>
    <w:rsid w:val="00FE62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5F11"/>
  <w15:chartTrackingRefBased/>
  <w15:docId w15:val="{F2CC3591-3851-43B3-A6CE-56532D25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25A7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Znak">
    <w:name w:val="Tytuł Znak"/>
    <w:aliases w:val="Znak Znak"/>
    <w:basedOn w:val="Domylnaczcionkaakapitu"/>
    <w:link w:val="Tytu"/>
    <w:locked/>
    <w:rsid w:val="00925A70"/>
    <w:rPr>
      <w:rFonts w:ascii="Garamond" w:hAnsi="Garamond"/>
      <w:b/>
      <w:bCs/>
      <w:sz w:val="24"/>
      <w:szCs w:val="24"/>
      <w:lang w:val="x-none" w:eastAsia="x-none"/>
    </w:rPr>
  </w:style>
  <w:style w:type="paragraph" w:styleId="Tytu">
    <w:name w:val="Title"/>
    <w:aliases w:val="Znak"/>
    <w:basedOn w:val="Normalny"/>
    <w:link w:val="TytuZnak"/>
    <w:qFormat/>
    <w:rsid w:val="00925A70"/>
    <w:pPr>
      <w:overflowPunct w:val="0"/>
      <w:autoSpaceDE w:val="0"/>
      <w:autoSpaceDN w:val="0"/>
      <w:adjustRightInd w:val="0"/>
      <w:jc w:val="center"/>
    </w:pPr>
    <w:rPr>
      <w:rFonts w:ascii="Garamond" w:eastAsiaTheme="minorHAnsi" w:hAnsi="Garamond" w:cstheme="minorBidi"/>
      <w:b/>
      <w:bCs/>
      <w:lang w:val="x-none" w:eastAsia="x-none"/>
    </w:rPr>
  </w:style>
  <w:style w:type="character" w:customStyle="1" w:styleId="TytuZnak1">
    <w:name w:val="Tytuł Znak1"/>
    <w:basedOn w:val="Domylnaczcionkaakapitu"/>
    <w:uiPriority w:val="10"/>
    <w:rsid w:val="00925A70"/>
    <w:rPr>
      <w:rFonts w:asciiTheme="majorHAnsi" w:eastAsiaTheme="majorEastAsia" w:hAnsiTheme="majorHAnsi" w:cstheme="majorBidi"/>
      <w:spacing w:val="-10"/>
      <w:kern w:val="28"/>
      <w:sz w:val="56"/>
      <w:szCs w:val="56"/>
      <w:lang w:eastAsia="pl-PL"/>
    </w:rPr>
  </w:style>
  <w:style w:type="paragraph" w:styleId="Tekstpodstawowy">
    <w:name w:val="Body Text"/>
    <w:basedOn w:val="Normalny"/>
    <w:link w:val="TekstpodstawowyZnak"/>
    <w:semiHidden/>
    <w:unhideWhenUsed/>
    <w:rsid w:val="00925A70"/>
    <w:pPr>
      <w:jc w:val="center"/>
    </w:pPr>
    <w:rPr>
      <w:rFonts w:ascii="Verdana" w:eastAsia="Batang" w:hAnsi="Verdana"/>
      <w:smallCaps/>
      <w:sz w:val="32"/>
      <w:szCs w:val="32"/>
      <w:lang w:val="x-none" w:eastAsia="x-none"/>
    </w:rPr>
  </w:style>
  <w:style w:type="character" w:customStyle="1" w:styleId="TekstpodstawowyZnak">
    <w:name w:val="Tekst podstawowy Znak"/>
    <w:basedOn w:val="Domylnaczcionkaakapitu"/>
    <w:link w:val="Tekstpodstawowy"/>
    <w:semiHidden/>
    <w:rsid w:val="00925A70"/>
    <w:rPr>
      <w:rFonts w:ascii="Verdana" w:eastAsia="Batang" w:hAnsi="Verdana" w:cs="Times New Roman"/>
      <w:smallCaps/>
      <w:sz w:val="32"/>
      <w:szCs w:val="32"/>
      <w:lang w:val="x-none" w:eastAsia="x-none"/>
    </w:rPr>
  </w:style>
  <w:style w:type="paragraph" w:styleId="Akapitzlist">
    <w:name w:val="List Paragraph"/>
    <w:basedOn w:val="Normalny"/>
    <w:uiPriority w:val="34"/>
    <w:qFormat/>
    <w:rsid w:val="00925A70"/>
    <w:pPr>
      <w:suppressAutoHyphens/>
      <w:spacing w:after="160" w:line="25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39"/>
    <w:rsid w:val="00925A70"/>
    <w:pPr>
      <w:suppressAutoHyphens/>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D4E7D"/>
    <w:pPr>
      <w:tabs>
        <w:tab w:val="center" w:pos="4536"/>
        <w:tab w:val="right" w:pos="9072"/>
      </w:tabs>
    </w:pPr>
  </w:style>
  <w:style w:type="character" w:customStyle="1" w:styleId="NagwekZnak">
    <w:name w:val="Nagłówek Znak"/>
    <w:basedOn w:val="Domylnaczcionkaakapitu"/>
    <w:link w:val="Nagwek"/>
    <w:uiPriority w:val="99"/>
    <w:rsid w:val="000D4E7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D4E7D"/>
    <w:pPr>
      <w:tabs>
        <w:tab w:val="center" w:pos="4536"/>
        <w:tab w:val="right" w:pos="9072"/>
      </w:tabs>
    </w:pPr>
  </w:style>
  <w:style w:type="character" w:customStyle="1" w:styleId="StopkaZnak">
    <w:name w:val="Stopka Znak"/>
    <w:basedOn w:val="Domylnaczcionkaakapitu"/>
    <w:link w:val="Stopka"/>
    <w:uiPriority w:val="99"/>
    <w:rsid w:val="000D4E7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75152">
      <w:bodyDiv w:val="1"/>
      <w:marLeft w:val="0"/>
      <w:marRight w:val="0"/>
      <w:marTop w:val="0"/>
      <w:marBottom w:val="0"/>
      <w:divBdr>
        <w:top w:val="none" w:sz="0" w:space="0" w:color="auto"/>
        <w:left w:val="none" w:sz="0" w:space="0" w:color="auto"/>
        <w:bottom w:val="none" w:sz="0" w:space="0" w:color="auto"/>
        <w:right w:val="none" w:sz="0" w:space="0" w:color="auto"/>
      </w:divBdr>
    </w:div>
    <w:div w:id="1135828601">
      <w:bodyDiv w:val="1"/>
      <w:marLeft w:val="0"/>
      <w:marRight w:val="0"/>
      <w:marTop w:val="0"/>
      <w:marBottom w:val="0"/>
      <w:divBdr>
        <w:top w:val="none" w:sz="0" w:space="0" w:color="auto"/>
        <w:left w:val="none" w:sz="0" w:space="0" w:color="auto"/>
        <w:bottom w:val="none" w:sz="0" w:space="0" w:color="auto"/>
        <w:right w:val="none" w:sz="0" w:space="0" w:color="auto"/>
      </w:divBdr>
    </w:div>
    <w:div w:id="1693262541">
      <w:bodyDiv w:val="1"/>
      <w:marLeft w:val="0"/>
      <w:marRight w:val="0"/>
      <w:marTop w:val="0"/>
      <w:marBottom w:val="0"/>
      <w:divBdr>
        <w:top w:val="none" w:sz="0" w:space="0" w:color="auto"/>
        <w:left w:val="none" w:sz="0" w:space="0" w:color="auto"/>
        <w:bottom w:val="none" w:sz="0" w:space="0" w:color="auto"/>
        <w:right w:val="none" w:sz="0" w:space="0" w:color="auto"/>
      </w:divBdr>
    </w:div>
    <w:div w:id="20452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2074</Words>
  <Characters>12449</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 Zamówień Pub.</dc:creator>
  <cp:keywords/>
  <dc:description/>
  <cp:lastModifiedBy>Kierownik Zamówień Pub.</cp:lastModifiedBy>
  <cp:revision>8</cp:revision>
  <dcterms:created xsi:type="dcterms:W3CDTF">2026-01-28T13:35:00Z</dcterms:created>
  <dcterms:modified xsi:type="dcterms:W3CDTF">2026-01-29T10:09:00Z</dcterms:modified>
</cp:coreProperties>
</file>