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9A" w:rsidRDefault="00496E9A" w:rsidP="00496E9A">
      <w:pPr>
        <w:pStyle w:val="Tytu"/>
        <w:spacing w:after="60" w:line="276" w:lineRule="auto"/>
        <w:jc w:val="left"/>
        <w:rPr>
          <w:rFonts w:ascii="Cambria" w:hAnsi="Cambria" w:cs="Arial"/>
          <w:iCs/>
          <w:u w:val="single"/>
        </w:rPr>
      </w:pPr>
    </w:p>
    <w:p w:rsidR="00496E9A" w:rsidRPr="005833EF" w:rsidRDefault="00496E9A" w:rsidP="00496E9A">
      <w:pPr>
        <w:spacing w:line="276" w:lineRule="auto"/>
        <w:ind w:left="1843"/>
        <w:rPr>
          <w:rFonts w:ascii="Candara" w:hAnsi="Candara" w:cs="Tahoma"/>
          <w:b/>
          <w:color w:val="002060"/>
          <w:sz w:val="28"/>
          <w:szCs w:val="28"/>
        </w:rPr>
      </w:pPr>
      <w:r>
        <w:rPr>
          <w:noProof/>
        </w:rPr>
        <w:drawing>
          <wp:anchor distT="0" distB="0" distL="114300" distR="114300" simplePos="0" relativeHeight="251660288" behindDoc="1" locked="0" layoutInCell="1" allowOverlap="1" wp14:anchorId="523BF2D1" wp14:editId="60DF1743">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698C4F49" wp14:editId="46CA9D94">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496E9A" w:rsidRPr="005833EF" w:rsidRDefault="00496E9A" w:rsidP="00496E9A">
      <w:pPr>
        <w:ind w:left="1843"/>
        <w:rPr>
          <w:rFonts w:ascii="Candara" w:hAnsi="Candara" w:cs="Tahoma"/>
          <w:b/>
          <w:color w:val="002060"/>
          <w:sz w:val="28"/>
          <w:szCs w:val="28"/>
        </w:rPr>
      </w:pPr>
      <w:r w:rsidRPr="005833EF">
        <w:rPr>
          <w:rFonts w:ascii="Candara" w:hAnsi="Candara" w:cs="Tahoma"/>
          <w:b/>
          <w:color w:val="002060"/>
          <w:sz w:val="28"/>
          <w:szCs w:val="28"/>
        </w:rPr>
        <w:t>Podkarpacki Ośrodek Onkologiczny</w:t>
      </w:r>
    </w:p>
    <w:p w:rsidR="00496E9A" w:rsidRDefault="00496E9A" w:rsidP="00496E9A">
      <w:pPr>
        <w:ind w:left="1843"/>
        <w:rPr>
          <w:rFonts w:ascii="Candara" w:hAnsi="Candara" w:cs="Tahoma"/>
          <w:b/>
          <w:color w:val="002060"/>
          <w:sz w:val="28"/>
          <w:szCs w:val="28"/>
        </w:rPr>
      </w:pPr>
      <w:r w:rsidRPr="005833EF">
        <w:rPr>
          <w:rFonts w:ascii="Candara" w:hAnsi="Candara" w:cs="Tahoma"/>
          <w:b/>
          <w:color w:val="002060"/>
          <w:sz w:val="28"/>
          <w:szCs w:val="28"/>
        </w:rPr>
        <w:t>im. Ks. Bronisława Markiewicza</w:t>
      </w:r>
    </w:p>
    <w:p w:rsidR="00496E9A" w:rsidRPr="00E754F7" w:rsidRDefault="00496E9A" w:rsidP="00496E9A">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496E9A" w:rsidRDefault="00496E9A" w:rsidP="00496E9A">
      <w:pPr>
        <w:ind w:left="708" w:firstLine="708"/>
        <w:rPr>
          <w:rFonts w:ascii="Candara" w:hAnsi="Candara" w:cs="Tahoma"/>
          <w:b/>
          <w:color w:val="002060"/>
          <w:sz w:val="28"/>
          <w:szCs w:val="28"/>
        </w:rPr>
      </w:pPr>
    </w:p>
    <w:p w:rsidR="00496E9A" w:rsidRPr="006E209E" w:rsidRDefault="00496E9A" w:rsidP="00496E9A">
      <w:pPr>
        <w:rPr>
          <w:rFonts w:asciiTheme="minorHAnsi" w:hAnsiTheme="minorHAnsi" w:cstheme="minorHAnsi"/>
          <w:sz w:val="22"/>
          <w:szCs w:val="22"/>
        </w:rPr>
      </w:pPr>
      <w:proofErr w:type="spellStart"/>
      <w:r w:rsidRPr="006E209E">
        <w:rPr>
          <w:rFonts w:asciiTheme="minorHAnsi" w:hAnsiTheme="minorHAnsi" w:cstheme="minorHAnsi"/>
          <w:sz w:val="22"/>
          <w:szCs w:val="22"/>
        </w:rPr>
        <w:t>Sz.S.POO</w:t>
      </w:r>
      <w:proofErr w:type="spellEnd"/>
      <w:r w:rsidRPr="006E209E">
        <w:rPr>
          <w:rFonts w:asciiTheme="minorHAnsi" w:hAnsiTheme="minorHAnsi" w:cstheme="minorHAnsi"/>
          <w:sz w:val="22"/>
          <w:szCs w:val="22"/>
        </w:rPr>
        <w:t>. SZP.3810</w:t>
      </w:r>
      <w:r>
        <w:rPr>
          <w:rFonts w:asciiTheme="minorHAnsi" w:hAnsiTheme="minorHAnsi" w:cstheme="minorHAnsi"/>
          <w:sz w:val="22"/>
          <w:szCs w:val="22"/>
        </w:rPr>
        <w:t>.</w:t>
      </w:r>
      <w:r w:rsidR="00D462FE">
        <w:rPr>
          <w:rFonts w:asciiTheme="minorHAnsi" w:hAnsiTheme="minorHAnsi" w:cstheme="minorHAnsi"/>
          <w:sz w:val="22"/>
          <w:szCs w:val="22"/>
        </w:rPr>
        <w:t>10</w:t>
      </w:r>
      <w:r w:rsidR="005D54C1">
        <w:rPr>
          <w:rFonts w:asciiTheme="minorHAnsi" w:hAnsiTheme="minorHAnsi" w:cstheme="minorHAnsi"/>
          <w:sz w:val="22"/>
          <w:szCs w:val="22"/>
        </w:rPr>
        <w:t>6</w:t>
      </w:r>
      <w:r>
        <w:rPr>
          <w:rFonts w:asciiTheme="minorHAnsi" w:hAnsiTheme="minorHAnsi" w:cstheme="minorHAnsi"/>
          <w:sz w:val="22"/>
          <w:szCs w:val="22"/>
        </w:rPr>
        <w:t>.</w:t>
      </w:r>
      <w:r w:rsidRPr="006E209E">
        <w:rPr>
          <w:rFonts w:asciiTheme="minorHAnsi" w:hAnsiTheme="minorHAnsi" w:cstheme="minorHAnsi"/>
          <w:sz w:val="22"/>
          <w:szCs w:val="22"/>
        </w:rPr>
        <w:t>202</w:t>
      </w:r>
      <w:r>
        <w:rPr>
          <w:rFonts w:asciiTheme="minorHAnsi" w:hAnsiTheme="minorHAnsi" w:cstheme="minorHAnsi"/>
          <w:sz w:val="22"/>
          <w:szCs w:val="22"/>
        </w:rPr>
        <w:t>5</w:t>
      </w:r>
      <w:r w:rsidRPr="006E209E">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E209E">
        <w:rPr>
          <w:rFonts w:asciiTheme="minorHAnsi" w:hAnsiTheme="minorHAnsi" w:cstheme="minorHAnsi"/>
          <w:sz w:val="22"/>
          <w:szCs w:val="22"/>
        </w:rPr>
        <w:t xml:space="preserve"> </w:t>
      </w:r>
      <w:r w:rsidR="00AE62A0">
        <w:rPr>
          <w:rFonts w:asciiTheme="minorHAnsi" w:hAnsiTheme="minorHAnsi" w:cstheme="minorHAnsi"/>
          <w:sz w:val="22"/>
          <w:szCs w:val="22"/>
        </w:rPr>
        <w:tab/>
      </w:r>
      <w:r w:rsidRPr="006E209E">
        <w:rPr>
          <w:rFonts w:asciiTheme="minorHAnsi" w:hAnsiTheme="minorHAnsi" w:cstheme="minorHAnsi"/>
          <w:sz w:val="22"/>
          <w:szCs w:val="22"/>
        </w:rPr>
        <w:t xml:space="preserve">Brzozów: </w:t>
      </w:r>
      <w:r w:rsidR="00F304E2">
        <w:rPr>
          <w:rFonts w:asciiTheme="minorHAnsi" w:hAnsiTheme="minorHAnsi" w:cstheme="minorHAnsi"/>
          <w:sz w:val="22"/>
          <w:szCs w:val="22"/>
        </w:rPr>
        <w:t>01</w:t>
      </w:r>
      <w:r w:rsidRPr="006E209E">
        <w:rPr>
          <w:rFonts w:asciiTheme="minorHAnsi" w:hAnsiTheme="minorHAnsi" w:cstheme="minorHAnsi"/>
          <w:sz w:val="22"/>
          <w:szCs w:val="22"/>
        </w:rPr>
        <w:t>.</w:t>
      </w:r>
      <w:r>
        <w:rPr>
          <w:rFonts w:asciiTheme="minorHAnsi" w:hAnsiTheme="minorHAnsi" w:cstheme="minorHAnsi"/>
          <w:sz w:val="22"/>
          <w:szCs w:val="22"/>
        </w:rPr>
        <w:t>1</w:t>
      </w:r>
      <w:r w:rsidR="00F304E2">
        <w:rPr>
          <w:rFonts w:asciiTheme="minorHAnsi" w:hAnsiTheme="minorHAnsi" w:cstheme="minorHAnsi"/>
          <w:sz w:val="22"/>
          <w:szCs w:val="22"/>
        </w:rPr>
        <w:t>2</w:t>
      </w:r>
      <w:r w:rsidRPr="006E209E">
        <w:rPr>
          <w:rFonts w:asciiTheme="minorHAnsi" w:hAnsiTheme="minorHAnsi" w:cstheme="minorHAnsi"/>
          <w:sz w:val="22"/>
          <w:szCs w:val="22"/>
        </w:rPr>
        <w:t>.202</w:t>
      </w:r>
      <w:r>
        <w:rPr>
          <w:rFonts w:asciiTheme="minorHAnsi" w:hAnsiTheme="minorHAnsi" w:cstheme="minorHAnsi"/>
          <w:sz w:val="22"/>
          <w:szCs w:val="22"/>
        </w:rPr>
        <w:t>5</w:t>
      </w:r>
      <w:r w:rsidRPr="006E209E">
        <w:rPr>
          <w:rFonts w:asciiTheme="minorHAnsi" w:hAnsiTheme="minorHAnsi" w:cstheme="minorHAnsi"/>
          <w:sz w:val="22"/>
          <w:szCs w:val="22"/>
        </w:rPr>
        <w:t xml:space="preserve"> r.</w:t>
      </w:r>
    </w:p>
    <w:p w:rsidR="00496E9A" w:rsidRDefault="00496E9A" w:rsidP="00496E9A">
      <w:pPr>
        <w:ind w:left="2124" w:firstLine="708"/>
        <w:jc w:val="both"/>
        <w:rPr>
          <w:rFonts w:asciiTheme="minorHAnsi" w:hAnsiTheme="minorHAnsi" w:cstheme="minorHAnsi"/>
          <w:b/>
          <w:sz w:val="22"/>
          <w:szCs w:val="22"/>
          <w:lang w:eastAsia="en-US"/>
        </w:rPr>
      </w:pPr>
    </w:p>
    <w:p w:rsidR="00496E9A" w:rsidRDefault="00496E9A" w:rsidP="00496E9A">
      <w:pPr>
        <w:ind w:left="2124" w:firstLine="708"/>
        <w:jc w:val="both"/>
        <w:rPr>
          <w:rFonts w:asciiTheme="minorHAnsi" w:hAnsiTheme="minorHAnsi" w:cstheme="minorHAnsi"/>
          <w:b/>
          <w:sz w:val="22"/>
          <w:szCs w:val="22"/>
          <w:lang w:eastAsia="en-US"/>
        </w:rPr>
      </w:pPr>
    </w:p>
    <w:p w:rsidR="00496E9A" w:rsidRDefault="00496E9A" w:rsidP="00496E9A">
      <w:pPr>
        <w:ind w:left="2124" w:firstLine="708"/>
        <w:jc w:val="both"/>
        <w:rPr>
          <w:rFonts w:asciiTheme="minorHAnsi" w:hAnsiTheme="minorHAnsi" w:cstheme="minorHAnsi"/>
          <w:b/>
          <w:sz w:val="22"/>
          <w:szCs w:val="22"/>
          <w:lang w:eastAsia="en-US"/>
        </w:rPr>
      </w:pPr>
    </w:p>
    <w:p w:rsidR="00496E9A" w:rsidRPr="00496E9A" w:rsidRDefault="00496E9A" w:rsidP="00496E9A">
      <w:pPr>
        <w:ind w:left="2124" w:firstLine="708"/>
        <w:jc w:val="both"/>
        <w:rPr>
          <w:rFonts w:asciiTheme="minorHAnsi" w:hAnsiTheme="minorHAnsi" w:cstheme="minorHAnsi"/>
          <w:b/>
          <w:sz w:val="22"/>
          <w:szCs w:val="22"/>
          <w:lang w:eastAsia="en-US"/>
        </w:rPr>
      </w:pPr>
      <w:bookmarkStart w:id="0" w:name="_GoBack"/>
      <w:bookmarkEnd w:id="0"/>
      <w:r w:rsidRPr="00496E9A">
        <w:rPr>
          <w:rFonts w:asciiTheme="minorHAnsi" w:hAnsiTheme="minorHAnsi" w:cstheme="minorHAnsi"/>
          <w:b/>
          <w:sz w:val="22"/>
          <w:szCs w:val="22"/>
          <w:lang w:eastAsia="en-US"/>
        </w:rPr>
        <w:t xml:space="preserve">Dotyczy  postępowania </w:t>
      </w:r>
    </w:p>
    <w:p w:rsidR="00496E9A" w:rsidRPr="00496E9A" w:rsidRDefault="00496E9A" w:rsidP="00496E9A">
      <w:pPr>
        <w:ind w:left="2832"/>
        <w:jc w:val="both"/>
        <w:rPr>
          <w:rFonts w:asciiTheme="minorHAnsi" w:hAnsiTheme="minorHAnsi" w:cstheme="minorHAnsi"/>
          <w:b/>
          <w:iCs/>
          <w:sz w:val="22"/>
          <w:szCs w:val="22"/>
          <w:lang w:eastAsia="en-US"/>
        </w:rPr>
      </w:pPr>
      <w:r w:rsidRPr="00496E9A">
        <w:rPr>
          <w:rFonts w:asciiTheme="minorHAnsi" w:hAnsiTheme="minorHAnsi" w:cstheme="minorHAnsi"/>
          <w:b/>
          <w:iCs/>
          <w:sz w:val="22"/>
          <w:szCs w:val="22"/>
          <w:lang w:eastAsia="en-US"/>
        </w:rPr>
        <w:t>o udzielenie zamówienia publicznego:</w:t>
      </w:r>
    </w:p>
    <w:p w:rsidR="00496E9A" w:rsidRPr="00496E9A" w:rsidRDefault="00496E9A" w:rsidP="005D54C1">
      <w:pPr>
        <w:ind w:left="2832"/>
        <w:jc w:val="both"/>
        <w:rPr>
          <w:rFonts w:asciiTheme="minorHAnsi" w:hAnsiTheme="minorHAnsi" w:cstheme="minorHAnsi"/>
          <w:b/>
          <w:sz w:val="22"/>
          <w:szCs w:val="22"/>
          <w:lang w:eastAsia="en-US"/>
        </w:rPr>
      </w:pPr>
      <w:r w:rsidRPr="00496E9A">
        <w:rPr>
          <w:rFonts w:asciiTheme="minorHAnsi" w:hAnsiTheme="minorHAnsi" w:cstheme="minorHAnsi"/>
          <w:b/>
          <w:sz w:val="22"/>
          <w:szCs w:val="22"/>
          <w:lang w:eastAsia="en-US"/>
        </w:rPr>
        <w:t xml:space="preserve">Dostawa </w:t>
      </w:r>
      <w:r w:rsidR="005D54C1">
        <w:rPr>
          <w:rFonts w:asciiTheme="minorHAnsi" w:hAnsiTheme="minorHAnsi" w:cstheme="minorHAnsi"/>
          <w:b/>
          <w:sz w:val="22"/>
          <w:szCs w:val="22"/>
          <w:lang w:eastAsia="en-US"/>
        </w:rPr>
        <w:t>produktów leczniczych</w:t>
      </w:r>
    </w:p>
    <w:p w:rsidR="00496E9A" w:rsidRPr="00496E9A" w:rsidRDefault="00496E9A" w:rsidP="00496E9A">
      <w:pPr>
        <w:jc w:val="both"/>
        <w:rPr>
          <w:rFonts w:asciiTheme="minorHAnsi" w:hAnsiTheme="minorHAnsi" w:cstheme="minorHAnsi"/>
          <w:b/>
          <w:sz w:val="22"/>
          <w:szCs w:val="22"/>
          <w:lang w:eastAsia="en-US"/>
        </w:rPr>
      </w:pPr>
      <w:r w:rsidRPr="00496E9A">
        <w:rPr>
          <w:rFonts w:asciiTheme="minorHAnsi" w:hAnsiTheme="minorHAnsi" w:cstheme="minorHAnsi"/>
          <w:b/>
          <w:sz w:val="22"/>
          <w:szCs w:val="22"/>
          <w:lang w:eastAsia="en-US"/>
        </w:rPr>
        <w:t xml:space="preserve">                                                        Sygn.</w:t>
      </w:r>
      <w:r w:rsidR="00786A50">
        <w:rPr>
          <w:rFonts w:asciiTheme="minorHAnsi" w:hAnsiTheme="minorHAnsi" w:cstheme="minorHAnsi"/>
          <w:b/>
          <w:sz w:val="22"/>
          <w:szCs w:val="22"/>
          <w:lang w:eastAsia="en-US"/>
        </w:rPr>
        <w:t xml:space="preserve"> </w:t>
      </w:r>
      <w:r w:rsidRPr="00496E9A">
        <w:rPr>
          <w:rFonts w:asciiTheme="minorHAnsi" w:hAnsiTheme="minorHAnsi" w:cstheme="minorHAnsi"/>
          <w:b/>
          <w:sz w:val="22"/>
          <w:szCs w:val="22"/>
          <w:lang w:eastAsia="en-US"/>
        </w:rPr>
        <w:t>Sz.S.POO.SZP.3810.</w:t>
      </w:r>
      <w:r>
        <w:rPr>
          <w:rFonts w:asciiTheme="minorHAnsi" w:hAnsiTheme="minorHAnsi" w:cstheme="minorHAnsi"/>
          <w:b/>
          <w:sz w:val="22"/>
          <w:szCs w:val="22"/>
          <w:lang w:eastAsia="en-US"/>
        </w:rPr>
        <w:t>10</w:t>
      </w:r>
      <w:r w:rsidR="005D54C1">
        <w:rPr>
          <w:rFonts w:asciiTheme="minorHAnsi" w:hAnsiTheme="minorHAnsi" w:cstheme="minorHAnsi"/>
          <w:b/>
          <w:sz w:val="22"/>
          <w:szCs w:val="22"/>
          <w:lang w:eastAsia="en-US"/>
        </w:rPr>
        <w:t>6</w:t>
      </w:r>
      <w:r w:rsidRPr="00496E9A">
        <w:rPr>
          <w:rFonts w:asciiTheme="minorHAnsi" w:hAnsiTheme="minorHAnsi" w:cstheme="minorHAnsi"/>
          <w:b/>
          <w:sz w:val="22"/>
          <w:szCs w:val="22"/>
          <w:lang w:eastAsia="en-US"/>
        </w:rPr>
        <w:t>.2025</w:t>
      </w:r>
    </w:p>
    <w:p w:rsidR="00496E9A" w:rsidRPr="00496E9A" w:rsidRDefault="00496E9A" w:rsidP="00496E9A">
      <w:pPr>
        <w:jc w:val="both"/>
        <w:rPr>
          <w:rFonts w:asciiTheme="minorHAnsi" w:hAnsiTheme="minorHAnsi" w:cstheme="minorHAnsi"/>
          <w:sz w:val="22"/>
          <w:szCs w:val="22"/>
          <w:lang w:eastAsia="en-US"/>
        </w:rPr>
      </w:pPr>
    </w:p>
    <w:p w:rsidR="00496E9A" w:rsidRPr="00496E9A" w:rsidRDefault="00496E9A" w:rsidP="00496E9A">
      <w:pPr>
        <w:jc w:val="both"/>
        <w:rPr>
          <w:rFonts w:asciiTheme="minorHAnsi" w:hAnsiTheme="minorHAnsi" w:cstheme="minorHAnsi"/>
          <w:sz w:val="22"/>
          <w:szCs w:val="22"/>
          <w:lang w:eastAsia="en-US"/>
        </w:rPr>
      </w:pPr>
    </w:p>
    <w:p w:rsidR="00DC48B7" w:rsidRDefault="005D54C1" w:rsidP="00DC48B7">
      <w:pPr>
        <w:ind w:firstLine="708"/>
        <w:jc w:val="both"/>
        <w:rPr>
          <w:rFonts w:asciiTheme="minorHAnsi" w:hAnsiTheme="minorHAnsi" w:cstheme="minorHAnsi"/>
          <w:sz w:val="22"/>
          <w:szCs w:val="22"/>
        </w:rPr>
      </w:pPr>
      <w:r w:rsidRPr="00231295">
        <w:rPr>
          <w:rFonts w:asciiTheme="minorHAnsi" w:hAnsiTheme="minorHAnsi" w:cstheme="minorHAnsi"/>
          <w:sz w:val="22"/>
          <w:szCs w:val="22"/>
        </w:rPr>
        <w:t xml:space="preserve">W związku z pytaniami złożonymi w niniejszym postępowaniu przez Wykonawców, Zamawiający udziela następujących odpowiedzi:  </w:t>
      </w:r>
    </w:p>
    <w:p w:rsidR="005D54C1" w:rsidRDefault="005D54C1" w:rsidP="00DC48B7">
      <w:pPr>
        <w:ind w:firstLine="708"/>
        <w:jc w:val="both"/>
        <w:rPr>
          <w:rFonts w:asciiTheme="minorHAnsi" w:hAnsiTheme="minorHAnsi" w:cstheme="minorHAnsi"/>
          <w:sz w:val="22"/>
          <w:szCs w:val="22"/>
          <w:lang w:eastAsia="en-US"/>
        </w:rPr>
      </w:pPr>
    </w:p>
    <w:p w:rsidR="005D54C1" w:rsidRPr="005D54C1" w:rsidRDefault="005D54C1" w:rsidP="005D54C1">
      <w:pPr>
        <w:widowControl w:val="0"/>
        <w:suppressAutoHyphens/>
        <w:jc w:val="both"/>
        <w:rPr>
          <w:rFonts w:asciiTheme="minorHAnsi" w:eastAsia="SimSun" w:hAnsiTheme="minorHAnsi" w:cstheme="minorHAnsi"/>
          <w:b/>
          <w:kern w:val="1"/>
          <w:sz w:val="22"/>
          <w:szCs w:val="22"/>
          <w:lang w:eastAsia="hi-IN" w:bidi="hi-IN"/>
        </w:rPr>
      </w:pPr>
      <w:r w:rsidRPr="005D54C1">
        <w:rPr>
          <w:rFonts w:asciiTheme="minorHAnsi" w:eastAsia="SimSun" w:hAnsiTheme="minorHAnsi" w:cstheme="minorHAnsi"/>
          <w:b/>
          <w:kern w:val="1"/>
          <w:sz w:val="22"/>
          <w:szCs w:val="22"/>
          <w:lang w:eastAsia="hi-IN" w:bidi="hi-IN"/>
        </w:rPr>
        <w:t>Pytanie 1</w:t>
      </w:r>
    </w:p>
    <w:p w:rsidR="005D54C1" w:rsidRDefault="005D54C1"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Do §2 ust.17 wzoru umowy: Prosimy o rozszerzenie ww. zapisu poprzez dodanie informacji o procedurze reklamacyjnej, na której rozpatrzenie wykonawca powinien mieć co najmniej 3 dni.</w:t>
      </w:r>
    </w:p>
    <w:p w:rsidR="005D54C1" w:rsidRPr="005D54C1" w:rsidRDefault="005D54C1" w:rsidP="005D54C1">
      <w:pPr>
        <w:widowControl w:val="0"/>
        <w:suppressAutoHyphens/>
        <w:jc w:val="both"/>
        <w:rPr>
          <w:rFonts w:asciiTheme="minorHAnsi" w:eastAsia="SimSun" w:hAnsiTheme="minorHAnsi" w:cstheme="minorHAnsi"/>
          <w:b/>
          <w:kern w:val="1"/>
          <w:sz w:val="22"/>
          <w:szCs w:val="22"/>
          <w:lang w:eastAsia="hi-IN" w:bidi="hi-IN"/>
        </w:rPr>
      </w:pPr>
      <w:r w:rsidRPr="005D54C1">
        <w:rPr>
          <w:rFonts w:asciiTheme="minorHAnsi" w:eastAsia="SimSun" w:hAnsiTheme="minorHAnsi" w:cstheme="minorHAnsi"/>
          <w:b/>
          <w:kern w:val="1"/>
          <w:sz w:val="22"/>
          <w:szCs w:val="22"/>
          <w:lang w:eastAsia="hi-IN" w:bidi="hi-IN"/>
        </w:rPr>
        <w:t>Odpowiedź:</w:t>
      </w:r>
    </w:p>
    <w:p w:rsidR="005D54C1" w:rsidRPr="00564AC2" w:rsidRDefault="00C15F3E" w:rsidP="005D54C1">
      <w:pPr>
        <w:widowControl w:val="0"/>
        <w:suppressAutoHyphens/>
        <w:jc w:val="both"/>
        <w:rPr>
          <w:rFonts w:asciiTheme="minorHAnsi" w:eastAsia="SimSun" w:hAnsiTheme="minorHAnsi" w:cstheme="minorHAnsi"/>
          <w:color w:val="000000" w:themeColor="text1"/>
          <w:kern w:val="1"/>
          <w:sz w:val="22"/>
          <w:szCs w:val="22"/>
          <w:lang w:eastAsia="hi-IN" w:bidi="hi-IN"/>
        </w:rPr>
      </w:pPr>
      <w:r w:rsidRPr="00564AC2">
        <w:rPr>
          <w:rFonts w:asciiTheme="minorHAnsi" w:eastAsia="SimSun" w:hAnsiTheme="minorHAnsi" w:cstheme="minorHAnsi"/>
          <w:color w:val="000000" w:themeColor="text1"/>
          <w:kern w:val="1"/>
          <w:sz w:val="22"/>
          <w:szCs w:val="22"/>
          <w:lang w:eastAsia="hi-IN" w:bidi="hi-IN"/>
        </w:rPr>
        <w:t>Zamawiający pozostawia dotychczasowy zapis.</w:t>
      </w:r>
      <w:r w:rsidR="00F304E2" w:rsidRPr="00564AC2">
        <w:rPr>
          <w:rFonts w:asciiTheme="minorHAnsi" w:eastAsia="SimSun" w:hAnsiTheme="minorHAnsi" w:cstheme="minorHAnsi"/>
          <w:color w:val="000000" w:themeColor="text1"/>
          <w:kern w:val="1"/>
          <w:sz w:val="22"/>
          <w:szCs w:val="22"/>
          <w:lang w:eastAsia="hi-IN" w:bidi="hi-IN"/>
        </w:rPr>
        <w:t xml:space="preserve"> Zgodnie z SWZ.</w:t>
      </w:r>
    </w:p>
    <w:p w:rsidR="00C15F3E" w:rsidRPr="005D54C1" w:rsidRDefault="00C15F3E" w:rsidP="005D54C1">
      <w:pPr>
        <w:widowControl w:val="0"/>
        <w:suppressAutoHyphens/>
        <w:jc w:val="both"/>
        <w:rPr>
          <w:rFonts w:asciiTheme="minorHAnsi" w:eastAsia="SimSun" w:hAnsiTheme="minorHAnsi" w:cstheme="minorHAnsi"/>
          <w:kern w:val="1"/>
          <w:sz w:val="22"/>
          <w:szCs w:val="22"/>
          <w:lang w:eastAsia="hi-IN" w:bidi="hi-IN"/>
        </w:rPr>
      </w:pPr>
    </w:p>
    <w:p w:rsidR="005D54C1" w:rsidRPr="005D54C1" w:rsidRDefault="005D54C1" w:rsidP="005D54C1">
      <w:pPr>
        <w:widowControl w:val="0"/>
        <w:suppressAutoHyphens/>
        <w:jc w:val="both"/>
        <w:rPr>
          <w:rFonts w:asciiTheme="minorHAnsi" w:eastAsia="SimSun" w:hAnsiTheme="minorHAnsi" w:cstheme="minorHAnsi"/>
          <w:b/>
          <w:kern w:val="1"/>
          <w:sz w:val="22"/>
          <w:szCs w:val="22"/>
          <w:lang w:eastAsia="hi-IN" w:bidi="hi-IN"/>
        </w:rPr>
      </w:pPr>
      <w:r w:rsidRPr="005D54C1">
        <w:rPr>
          <w:rFonts w:asciiTheme="minorHAnsi" w:eastAsia="SimSun" w:hAnsiTheme="minorHAnsi" w:cstheme="minorHAnsi"/>
          <w:b/>
          <w:kern w:val="1"/>
          <w:sz w:val="22"/>
          <w:szCs w:val="22"/>
          <w:lang w:eastAsia="hi-IN" w:bidi="hi-IN"/>
        </w:rPr>
        <w:t>Pytanie 2</w:t>
      </w:r>
    </w:p>
    <w:p w:rsidR="005D54C1" w:rsidRPr="005D54C1" w:rsidRDefault="005D54C1"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 xml:space="preserve">Do §3 ust.4 wzoru umowy: Prosimy o wykreślenie z wzoru umowy treści §3 ust. 4, gdyż w naszej opinii, pozostawienie tak brzmiącego postanowienia, niepotrzebnie stwarza sytuację, w której nie ma jasności czy Wykonawca, który „oświadcza, że przyjął do wiadomości, iż w trakcie realizacji umowy mogą wystąpić opóźnienia w realizacji zobowiązań ze strony Kupującego, do około 90 dni po terminie płatności faktur” tym samym wyraża zgodę na tego rodzaju opóźnienie.  </w:t>
      </w:r>
    </w:p>
    <w:p w:rsidR="009B427C" w:rsidRPr="00F304E2" w:rsidRDefault="005D54C1" w:rsidP="00F304E2">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 xml:space="preserve">Jednocześnie, wskazujemy, że tak rozumiane ww. postanowienie wzoru umowy stoi w sprzeczności z art. 8 ust. 2 ustawy z dnia 8 marca 2013 r. o przeciwdziałaniu nadmiernym opóźnieniom w transakcjach handlowych zgodnie, z którym „[…] w transakcjach handlowych, w których dłużnikiem jest podmiot publiczny będący podmiotem leczniczym, termin ten (termin płatności) nie może przekraczać 60 dni. W przypadku gdy strony ustalą harmonogram spełnienia świadczenia pieniężnego w częściach, termin ten stosuje się do zapłaty każdej części świadczenia pieniężnego.”. Jeżeli zatem Zamawiający zdecyduje się na pozostawienie w treści umowy §3 ust. 4, a następnie będzie podejmował próby interpretowania go wydłużając termin na zapłatę o dodatkowe 90 dni (ponad 60 dni), wskazujmy że Wykonawcy zamówienia publicznego automatycznie nabędą uprawnienia do każdorazowego korzystania z uprawnień wskazanych w art. 8 ust. 1 w zw. z ust. 4a wskazanej ustawy, zgodnie z którym „Jeżeli w transakcji handlowej, w której dłużnikiem jest podmiot publiczny będący podmiotem leczniczym, ustalony w umowie termin zapłaty jest dłuższy niż 60 dni, liczonych od dnia doręczenia dłużnikowi faktury lub rachunku, potwierdzających dostawę towaru lub wykonanie usługi, wierzycielowi, który spełnił swoje świadczenie, po upływie 60 dni przysługują odsetki, o których mowa w ust. 1.” a także w art. 10 ust. 1 i ust. 2: „Wierzycielowi, od dnia nabycia uprawnienia do odsetek, o których mowa w art. 7 ust. 1 lub art. 8 ust. 1, przysługuje od dłużnika, bez wezwania, rekompensata za koszty odzyskiwania należności” oraz „Oprócz kwoty, o której mowa w ust. 1, wierzycielowi przysługuje również zwrot, w uzasadnionej wysokości, poniesionych kosztów odzyskiwania należności </w:t>
      </w:r>
    </w:p>
    <w:p w:rsidR="009B427C" w:rsidRDefault="009B427C" w:rsidP="009B427C">
      <w:pPr>
        <w:tabs>
          <w:tab w:val="left" w:pos="9072"/>
        </w:tabs>
        <w:jc w:val="both"/>
        <w:rPr>
          <w:rFonts w:asciiTheme="minorHAnsi" w:hAnsiTheme="minorHAnsi" w:cstheme="minorHAnsi"/>
          <w:sz w:val="20"/>
          <w:szCs w:val="20"/>
        </w:rPr>
      </w:pPr>
    </w:p>
    <w:p w:rsidR="009B427C" w:rsidRPr="00F71786" w:rsidRDefault="009B427C" w:rsidP="009B427C">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Pr>
          <w:rFonts w:ascii="Candara" w:hAnsi="Candara" w:cs="Tahoma"/>
          <w:b/>
          <w:color w:val="002060"/>
          <w:sz w:val="18"/>
          <w:szCs w:val="18"/>
        </w:rPr>
        <w:t xml:space="preserve">                                                                        </w:t>
      </w:r>
      <w:r>
        <w:rPr>
          <w:rFonts w:ascii="Candara" w:hAnsi="Candara" w:cs="Tahoma"/>
          <w:b/>
          <w:color w:val="002060"/>
          <w:sz w:val="18"/>
          <w:szCs w:val="18"/>
        </w:rPr>
        <w:tab/>
      </w:r>
      <w:r>
        <w:rPr>
          <w:rFonts w:ascii="Candara" w:hAnsi="Candara" w:cs="Tahoma"/>
          <w:b/>
          <w:color w:val="002060"/>
          <w:sz w:val="18"/>
          <w:szCs w:val="18"/>
        </w:rPr>
        <w:tab/>
      </w:r>
      <w:r>
        <w:rPr>
          <w:rFonts w:ascii="Candara" w:hAnsi="Candara" w:cs="Tahoma"/>
          <w:b/>
          <w:color w:val="002060"/>
          <w:sz w:val="18"/>
          <w:szCs w:val="18"/>
        </w:rPr>
        <w:tab/>
        <w:t xml:space="preserve">     </w:t>
      </w:r>
      <w:r w:rsidRPr="00F71786">
        <w:rPr>
          <w:rFonts w:ascii="Candara" w:hAnsi="Candara" w:cs="Tahoma"/>
          <w:b/>
          <w:color w:val="002060"/>
          <w:sz w:val="18"/>
          <w:szCs w:val="18"/>
        </w:rPr>
        <w:t>e-mail:</w:t>
      </w:r>
      <w:r w:rsidR="00316899">
        <w:rPr>
          <w:rFonts w:ascii="Candara" w:hAnsi="Candara" w:cs="Tahoma"/>
          <w:b/>
          <w:color w:val="002060"/>
          <w:sz w:val="18"/>
          <w:szCs w:val="18"/>
        </w:rPr>
        <w:t xml:space="preserve"> </w:t>
      </w:r>
      <w:r w:rsidRPr="00F71786">
        <w:rPr>
          <w:rFonts w:ascii="Candara" w:hAnsi="Candara" w:cs="Tahoma"/>
          <w:b/>
          <w:color w:val="002060"/>
          <w:sz w:val="18"/>
          <w:szCs w:val="18"/>
        </w:rPr>
        <w:t>onkologia@szpital-brzozow.pl</w:t>
      </w:r>
    </w:p>
    <w:p w:rsidR="009B427C" w:rsidRDefault="009B427C" w:rsidP="009B427C">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ab/>
      </w:r>
      <w:r w:rsidRPr="006E209E">
        <w:rPr>
          <w:rFonts w:ascii="Candara" w:hAnsi="Candara" w:cs="Tahoma"/>
          <w:b/>
          <w:color w:val="002060"/>
          <w:sz w:val="18"/>
          <w:szCs w:val="18"/>
        </w:rPr>
        <w:t xml:space="preserve">      </w:t>
      </w:r>
      <w:r>
        <w:rPr>
          <w:rFonts w:ascii="Candara" w:hAnsi="Candara" w:cs="Tahoma"/>
          <w:b/>
          <w:color w:val="002060"/>
          <w:sz w:val="18"/>
          <w:szCs w:val="18"/>
        </w:rPr>
        <w:tab/>
      </w:r>
      <w:r w:rsidR="00316899">
        <w:rPr>
          <w:rFonts w:ascii="Candara" w:hAnsi="Candara" w:cs="Tahoma"/>
          <w:b/>
          <w:color w:val="002060"/>
          <w:sz w:val="18"/>
          <w:szCs w:val="18"/>
        </w:rPr>
        <w:tab/>
        <w:t xml:space="preserve">             </w:t>
      </w:r>
      <w:hyperlink r:id="rId8" w:history="1">
        <w:r w:rsidR="00316899" w:rsidRPr="00A901D6">
          <w:rPr>
            <w:rStyle w:val="Hipercze"/>
            <w:rFonts w:ascii="Candara" w:hAnsi="Candara" w:cs="Tahoma"/>
            <w:b/>
            <w:sz w:val="18"/>
            <w:szCs w:val="18"/>
          </w:rPr>
          <w:t>www.szpital-brzozow.pl</w:t>
        </w:r>
      </w:hyperlink>
      <w:r w:rsidRPr="00F84B83">
        <w:rPr>
          <w:rFonts w:ascii="Candara" w:hAnsi="Candara" w:cs="Tahoma"/>
          <w:b/>
          <w:color w:val="1F3864" w:themeColor="accent1" w:themeShade="80"/>
          <w:sz w:val="18"/>
          <w:szCs w:val="18"/>
        </w:rPr>
        <w:t xml:space="preserve"> </w:t>
      </w:r>
    </w:p>
    <w:p w:rsidR="009B427C" w:rsidRPr="00AA77C3" w:rsidRDefault="009B427C" w:rsidP="009B427C">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9B427C" w:rsidRPr="00F71786" w:rsidRDefault="009B427C" w:rsidP="009B427C">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9B427C" w:rsidRPr="005D54C1" w:rsidRDefault="009B427C" w:rsidP="009B427C">
      <w:pPr>
        <w:widowControl w:val="0"/>
        <w:suppressAutoHyphens/>
        <w:jc w:val="both"/>
        <w:rPr>
          <w:rFonts w:asciiTheme="minorHAnsi" w:eastAsia="SimSun" w:hAnsiTheme="minorHAnsi" w:cstheme="minorHAnsi"/>
          <w:kern w:val="1"/>
          <w:sz w:val="22"/>
          <w:szCs w:val="22"/>
          <w:lang w:eastAsia="hi-IN" w:bidi="hi-IN"/>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sidR="00316899">
        <w:rPr>
          <w:rFonts w:ascii="Candara" w:hAnsi="Candara" w:cs="Tahoma"/>
          <w:b/>
          <w:color w:val="002060"/>
          <w:sz w:val="18"/>
          <w:szCs w:val="18"/>
        </w:rPr>
        <w:t> </w:t>
      </w:r>
      <w:r w:rsidRPr="00F71786">
        <w:rPr>
          <w:rFonts w:ascii="Candara" w:hAnsi="Candara" w:cs="Tahoma"/>
          <w:b/>
          <w:color w:val="002060"/>
          <w:sz w:val="18"/>
          <w:szCs w:val="18"/>
        </w:rPr>
        <w:t>42</w:t>
      </w:r>
      <w:r>
        <w:rPr>
          <w:rFonts w:ascii="Candara" w:hAnsi="Candara" w:cs="Tahoma"/>
          <w:b/>
          <w:color w:val="002060"/>
          <w:sz w:val="18"/>
          <w:szCs w:val="18"/>
        </w:rPr>
        <w:t>0</w:t>
      </w:r>
    </w:p>
    <w:p w:rsidR="00316899" w:rsidRDefault="00316899"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lastRenderedPageBreak/>
        <w:t>przewyższających tę kwotę.”</w:t>
      </w:r>
    </w:p>
    <w:p w:rsidR="005D54C1" w:rsidRPr="005D54C1" w:rsidRDefault="005D54C1"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 xml:space="preserve">Nadmieniamy jednocześnie, że wyżej wymienione uprawnienia  są niezbywalne i jakakolwiek próba wyłączenia ich przez Zamawiającego obarczone będzie bezpośrednio sankcją nieważności, co literalnie wynika z art. 13 ust. 1 ustawy z dnia 8 marca 2013 r. o przeciwdziałaniu nadmiernym opóźnieniom w transakcjach handlowych, zgodnie z którym "Postanowienia umowy wyłączające lub ograniczające uprawnienia wierzyciela lub obowiązki dłużnika, o których mowa w art. 5, art. 6 ust. 1, art. 7 ust. 1 i 3, art. 8 ust. 1, 4 i 4a, art. 10, art. 11 i art. 12, lub mające na celu obejście tych przepisów, są nieważne, a zamiast nich stosuje się przepisy ustawy.". Przepis ten jasno stanowi, że strony umowy nie są upoważnione do ważnego w świetle prawa wyłączenia uprawnienia wierzyciela przewidzianego w art. 8 ust. 4a, art. 10 ust. 1 ustawy, co nadaje temu ostatniemu przepisowi charakter iuris </w:t>
      </w:r>
      <w:proofErr w:type="spellStart"/>
      <w:r w:rsidRPr="005D54C1">
        <w:rPr>
          <w:rFonts w:asciiTheme="minorHAnsi" w:eastAsia="SimSun" w:hAnsiTheme="minorHAnsi" w:cstheme="minorHAnsi"/>
          <w:kern w:val="1"/>
          <w:sz w:val="22"/>
          <w:szCs w:val="22"/>
          <w:lang w:eastAsia="hi-IN" w:bidi="hi-IN"/>
        </w:rPr>
        <w:t>cogentis</w:t>
      </w:r>
      <w:proofErr w:type="spellEnd"/>
      <w:r w:rsidRPr="005D54C1">
        <w:rPr>
          <w:rFonts w:asciiTheme="minorHAnsi" w:eastAsia="SimSun" w:hAnsiTheme="minorHAnsi" w:cstheme="minorHAnsi"/>
          <w:kern w:val="1"/>
          <w:sz w:val="22"/>
          <w:szCs w:val="22"/>
          <w:lang w:eastAsia="hi-IN" w:bidi="hi-IN"/>
        </w:rPr>
        <w:t xml:space="preserve"> (bezwzględnie obowiązujący). </w:t>
      </w:r>
    </w:p>
    <w:p w:rsidR="005D54C1" w:rsidRDefault="005D54C1"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 xml:space="preserve">Zaznaczamy ponadto, że również w doktrynie powszechnie podnosi się, że „Za niedopuszczalne należy uznać postanowienia umowne abstrakcyjnie wyłączające lub ograniczające uprawnienia wierzyciela lub obowiązki dłużnika, tzn. przyjęte przez strony jeszcze przed powstaniem określonego uprawnienia lub obowiązku” (Komentarz do Art. 13 Ustawy o przeciwdziałaniu nadmiernym opóźnieniom w transakcjach handlowych, red. </w:t>
      </w:r>
      <w:proofErr w:type="spellStart"/>
      <w:r w:rsidRPr="005D54C1">
        <w:rPr>
          <w:rFonts w:asciiTheme="minorHAnsi" w:eastAsia="SimSun" w:hAnsiTheme="minorHAnsi" w:cstheme="minorHAnsi"/>
          <w:kern w:val="1"/>
          <w:sz w:val="22"/>
          <w:szCs w:val="22"/>
          <w:lang w:eastAsia="hi-IN" w:bidi="hi-IN"/>
        </w:rPr>
        <w:t>Osajda</w:t>
      </w:r>
      <w:proofErr w:type="spellEnd"/>
      <w:r w:rsidRPr="005D54C1">
        <w:rPr>
          <w:rFonts w:asciiTheme="minorHAnsi" w:eastAsia="SimSun" w:hAnsiTheme="minorHAnsi" w:cstheme="minorHAnsi"/>
          <w:kern w:val="1"/>
          <w:sz w:val="22"/>
          <w:szCs w:val="22"/>
          <w:lang w:eastAsia="hi-IN" w:bidi="hi-IN"/>
        </w:rPr>
        <w:t xml:space="preserve"> 2021, wyd. 4/B. </w:t>
      </w:r>
      <w:proofErr w:type="spellStart"/>
      <w:r w:rsidRPr="005D54C1">
        <w:rPr>
          <w:rFonts w:asciiTheme="minorHAnsi" w:eastAsia="SimSun" w:hAnsiTheme="minorHAnsi" w:cstheme="minorHAnsi"/>
          <w:kern w:val="1"/>
          <w:sz w:val="22"/>
          <w:szCs w:val="22"/>
          <w:lang w:eastAsia="hi-IN" w:bidi="hi-IN"/>
        </w:rPr>
        <w:t>Ostrzechowski</w:t>
      </w:r>
      <w:proofErr w:type="spellEnd"/>
      <w:r w:rsidRPr="005D54C1">
        <w:rPr>
          <w:rFonts w:asciiTheme="minorHAnsi" w:eastAsia="SimSun" w:hAnsiTheme="minorHAnsi" w:cstheme="minorHAnsi"/>
          <w:kern w:val="1"/>
          <w:sz w:val="22"/>
          <w:szCs w:val="22"/>
          <w:lang w:eastAsia="hi-IN" w:bidi="hi-IN"/>
        </w:rPr>
        <w:t xml:space="preserve">/K. </w:t>
      </w:r>
      <w:proofErr w:type="spellStart"/>
      <w:r w:rsidRPr="005D54C1">
        <w:rPr>
          <w:rFonts w:asciiTheme="minorHAnsi" w:eastAsia="SimSun" w:hAnsiTheme="minorHAnsi" w:cstheme="minorHAnsi"/>
          <w:kern w:val="1"/>
          <w:sz w:val="22"/>
          <w:szCs w:val="22"/>
          <w:lang w:eastAsia="hi-IN" w:bidi="hi-IN"/>
        </w:rPr>
        <w:t>Riedl</w:t>
      </w:r>
      <w:proofErr w:type="spellEnd"/>
      <w:r w:rsidRPr="005D54C1">
        <w:rPr>
          <w:rFonts w:asciiTheme="minorHAnsi" w:eastAsia="SimSun" w:hAnsiTheme="minorHAnsi" w:cstheme="minorHAnsi"/>
          <w:kern w:val="1"/>
          <w:sz w:val="22"/>
          <w:szCs w:val="22"/>
          <w:lang w:eastAsia="hi-IN" w:bidi="hi-IN"/>
        </w:rPr>
        <w:t xml:space="preserve">). Ponadto, wprost uznaje się, że: „Celem normy wyrażonej w art. 13 </w:t>
      </w:r>
      <w:proofErr w:type="spellStart"/>
      <w:r w:rsidRPr="005D54C1">
        <w:rPr>
          <w:rFonts w:asciiTheme="minorHAnsi" w:eastAsia="SimSun" w:hAnsiTheme="minorHAnsi" w:cstheme="minorHAnsi"/>
          <w:kern w:val="1"/>
          <w:sz w:val="22"/>
          <w:szCs w:val="22"/>
          <w:lang w:eastAsia="hi-IN" w:bidi="hi-IN"/>
        </w:rPr>
        <w:t>TransHandlZapU</w:t>
      </w:r>
      <w:proofErr w:type="spellEnd"/>
      <w:r w:rsidRPr="005D54C1">
        <w:rPr>
          <w:rFonts w:asciiTheme="minorHAnsi" w:eastAsia="SimSun" w:hAnsiTheme="minorHAnsi" w:cstheme="minorHAnsi"/>
          <w:kern w:val="1"/>
          <w:sz w:val="22"/>
          <w:szCs w:val="22"/>
          <w:lang w:eastAsia="hi-IN" w:bidi="hi-IN"/>
        </w:rPr>
        <w:t xml:space="preserve"> jest zapobieżenie sytuacji, w której jedna ze strona (dłużnik) transakcji handlowej wykorzystując przewagę negocjacyjną, wymusza na drugiej stronie (wierzycielu) odpowiednie postanowienia umowne, które uszczuplają bądź nawet wyłączają uprawnienia wierzyciela bądź obowiązki dłużnika przewidziane w art. 5, 6 ust. 1, art. 7 ust. 1 i 3, art. 8 ust. 1 i 4, 10, 11 i 12 </w:t>
      </w:r>
      <w:proofErr w:type="spellStart"/>
      <w:r w:rsidRPr="005D54C1">
        <w:rPr>
          <w:rFonts w:asciiTheme="minorHAnsi" w:eastAsia="SimSun" w:hAnsiTheme="minorHAnsi" w:cstheme="minorHAnsi"/>
          <w:kern w:val="1"/>
          <w:sz w:val="22"/>
          <w:szCs w:val="22"/>
          <w:lang w:eastAsia="hi-IN" w:bidi="hi-IN"/>
        </w:rPr>
        <w:t>TransHandlZapU</w:t>
      </w:r>
      <w:proofErr w:type="spellEnd"/>
      <w:r w:rsidRPr="005D54C1">
        <w:rPr>
          <w:rFonts w:asciiTheme="minorHAnsi" w:eastAsia="SimSun" w:hAnsiTheme="minorHAnsi" w:cstheme="minorHAnsi"/>
          <w:kern w:val="1"/>
          <w:sz w:val="22"/>
          <w:szCs w:val="22"/>
          <w:lang w:eastAsia="hi-IN" w:bidi="hi-IN"/>
        </w:rPr>
        <w:t xml:space="preserve">” (Komentarz do Art. 13 Ustawy o przeciwdziałaniu nadmiernym opóźnieniom w transakcjach handlowych red. </w:t>
      </w:r>
      <w:proofErr w:type="spellStart"/>
      <w:r w:rsidRPr="005D54C1">
        <w:rPr>
          <w:rFonts w:asciiTheme="minorHAnsi" w:eastAsia="SimSun" w:hAnsiTheme="minorHAnsi" w:cstheme="minorHAnsi"/>
          <w:kern w:val="1"/>
          <w:sz w:val="22"/>
          <w:szCs w:val="22"/>
          <w:lang w:eastAsia="hi-IN" w:bidi="hi-IN"/>
        </w:rPr>
        <w:t>Osajda</w:t>
      </w:r>
      <w:proofErr w:type="spellEnd"/>
      <w:r w:rsidRPr="005D54C1">
        <w:rPr>
          <w:rFonts w:asciiTheme="minorHAnsi" w:eastAsia="SimSun" w:hAnsiTheme="minorHAnsi" w:cstheme="minorHAnsi"/>
          <w:kern w:val="1"/>
          <w:sz w:val="22"/>
          <w:szCs w:val="22"/>
          <w:lang w:eastAsia="hi-IN" w:bidi="hi-IN"/>
        </w:rPr>
        <w:t xml:space="preserve"> 2017, wyd. 1/Cudny)</w:t>
      </w:r>
    </w:p>
    <w:p w:rsidR="005D54C1" w:rsidRDefault="005D54C1" w:rsidP="005D54C1">
      <w:pPr>
        <w:widowControl w:val="0"/>
        <w:suppressAutoHyphens/>
        <w:jc w:val="both"/>
        <w:rPr>
          <w:rFonts w:asciiTheme="minorHAnsi" w:eastAsia="SimSun" w:hAnsiTheme="minorHAnsi" w:cstheme="minorHAnsi"/>
          <w:b/>
          <w:kern w:val="1"/>
          <w:sz w:val="22"/>
          <w:szCs w:val="22"/>
          <w:lang w:eastAsia="hi-IN" w:bidi="hi-IN"/>
        </w:rPr>
      </w:pPr>
      <w:r w:rsidRPr="00A3417A">
        <w:rPr>
          <w:rFonts w:asciiTheme="minorHAnsi" w:eastAsia="SimSun" w:hAnsiTheme="minorHAnsi" w:cstheme="minorHAnsi"/>
          <w:b/>
          <w:kern w:val="1"/>
          <w:sz w:val="22"/>
          <w:szCs w:val="22"/>
          <w:lang w:eastAsia="hi-IN" w:bidi="hi-IN"/>
        </w:rPr>
        <w:t>Odpowiedź:</w:t>
      </w:r>
    </w:p>
    <w:p w:rsidR="00F304E2" w:rsidRPr="00564AC2" w:rsidRDefault="00F304E2" w:rsidP="005D54C1">
      <w:pPr>
        <w:widowControl w:val="0"/>
        <w:suppressAutoHyphens/>
        <w:jc w:val="both"/>
        <w:rPr>
          <w:rFonts w:asciiTheme="minorHAnsi" w:eastAsia="SimSun" w:hAnsiTheme="minorHAnsi" w:cstheme="minorHAnsi"/>
          <w:color w:val="000000" w:themeColor="text1"/>
          <w:kern w:val="1"/>
          <w:sz w:val="22"/>
          <w:szCs w:val="22"/>
          <w:lang w:eastAsia="hi-IN" w:bidi="hi-IN"/>
        </w:rPr>
      </w:pPr>
      <w:r w:rsidRPr="00564AC2">
        <w:rPr>
          <w:rFonts w:asciiTheme="minorHAnsi" w:eastAsia="SimSun" w:hAnsiTheme="minorHAnsi" w:cstheme="minorHAnsi"/>
          <w:color w:val="000000" w:themeColor="text1"/>
          <w:kern w:val="1"/>
          <w:sz w:val="22"/>
          <w:szCs w:val="22"/>
          <w:lang w:eastAsia="hi-IN" w:bidi="hi-IN"/>
        </w:rPr>
        <w:t>Zgodnie z SWZ.</w:t>
      </w:r>
    </w:p>
    <w:p w:rsidR="005D54C1" w:rsidRPr="005D54C1" w:rsidRDefault="005D54C1" w:rsidP="005D54C1">
      <w:pPr>
        <w:widowControl w:val="0"/>
        <w:suppressAutoHyphens/>
        <w:jc w:val="both"/>
        <w:rPr>
          <w:rFonts w:asciiTheme="minorHAnsi" w:eastAsia="SimSun" w:hAnsiTheme="minorHAnsi" w:cstheme="minorHAnsi"/>
          <w:kern w:val="1"/>
          <w:sz w:val="22"/>
          <w:szCs w:val="22"/>
          <w:lang w:eastAsia="hi-IN" w:bidi="hi-IN"/>
        </w:rPr>
      </w:pPr>
    </w:p>
    <w:p w:rsidR="00A3417A" w:rsidRPr="00A3417A" w:rsidRDefault="00A3417A" w:rsidP="005D54C1">
      <w:pPr>
        <w:widowControl w:val="0"/>
        <w:suppressAutoHyphens/>
        <w:jc w:val="both"/>
        <w:rPr>
          <w:rFonts w:asciiTheme="minorHAnsi" w:eastAsia="SimSun" w:hAnsiTheme="minorHAnsi" w:cstheme="minorHAnsi"/>
          <w:b/>
          <w:kern w:val="1"/>
          <w:sz w:val="22"/>
          <w:szCs w:val="22"/>
          <w:lang w:eastAsia="hi-IN" w:bidi="hi-IN"/>
        </w:rPr>
      </w:pPr>
      <w:r w:rsidRPr="00A3417A">
        <w:rPr>
          <w:rFonts w:asciiTheme="minorHAnsi" w:eastAsia="SimSun" w:hAnsiTheme="minorHAnsi" w:cstheme="minorHAnsi"/>
          <w:b/>
          <w:kern w:val="1"/>
          <w:sz w:val="22"/>
          <w:szCs w:val="22"/>
          <w:lang w:eastAsia="hi-IN" w:bidi="hi-IN"/>
        </w:rPr>
        <w:t>Pytanie 3</w:t>
      </w:r>
    </w:p>
    <w:p w:rsidR="005D54C1" w:rsidRDefault="005D54C1"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Do §3 ust.5 wzoru umowy. Prosimy o informację, czy w przypadku wstrzymania produkcji lub wycofania z obrotu przedmiotu umowy oraz braku możliwości dostarczenia zamiennika leku w cenie przetargowej (bo np. będzie to groziło rażącą stratą dla Wykonawcy), Zamawiający wyrazi zgodę na sprzedaż w cenie zbliżonej do rynkowej lub na wyłączenie tego produktu z umowy bez konieczności ponoszenia kary przez Wykonawcę? Jednocześnie, zwracamy się z prośbą o dopuszczenie możliwości dostawy równoważnika, również w przypadku, niezależnej od Wykonawcy, czasowej niedostępności produktu leczniczego w obrocie.</w:t>
      </w:r>
    </w:p>
    <w:p w:rsidR="00A3417A" w:rsidRPr="005D54C1" w:rsidRDefault="00A3417A" w:rsidP="005D54C1">
      <w:pPr>
        <w:widowControl w:val="0"/>
        <w:suppressAutoHyphens/>
        <w:jc w:val="both"/>
        <w:rPr>
          <w:rFonts w:asciiTheme="minorHAnsi" w:eastAsia="SimSun" w:hAnsiTheme="minorHAnsi" w:cstheme="minorHAnsi"/>
          <w:b/>
          <w:kern w:val="1"/>
          <w:sz w:val="22"/>
          <w:szCs w:val="22"/>
          <w:lang w:eastAsia="hi-IN" w:bidi="hi-IN"/>
        </w:rPr>
      </w:pPr>
      <w:r w:rsidRPr="00A3417A">
        <w:rPr>
          <w:rFonts w:asciiTheme="minorHAnsi" w:eastAsia="SimSun" w:hAnsiTheme="minorHAnsi" w:cstheme="minorHAnsi"/>
          <w:b/>
          <w:kern w:val="1"/>
          <w:sz w:val="22"/>
          <w:szCs w:val="22"/>
          <w:lang w:eastAsia="hi-IN" w:bidi="hi-IN"/>
        </w:rPr>
        <w:t>Odpowiedź:</w:t>
      </w:r>
    </w:p>
    <w:p w:rsidR="002112AE" w:rsidRPr="00564AC2" w:rsidRDefault="002112AE" w:rsidP="002112AE">
      <w:pPr>
        <w:jc w:val="both"/>
        <w:rPr>
          <w:rFonts w:asciiTheme="minorHAnsi" w:hAnsiTheme="minorHAnsi" w:cstheme="minorHAnsi"/>
          <w:color w:val="000000" w:themeColor="text1"/>
          <w:sz w:val="22"/>
          <w:szCs w:val="22"/>
        </w:rPr>
      </w:pPr>
      <w:r w:rsidRPr="00564AC2">
        <w:rPr>
          <w:rFonts w:asciiTheme="minorHAnsi" w:hAnsiTheme="minorHAnsi" w:cstheme="minorHAnsi"/>
          <w:color w:val="000000" w:themeColor="text1"/>
          <w:sz w:val="22"/>
          <w:szCs w:val="22"/>
        </w:rPr>
        <w:t>W opisanym przypadku Zamawiający nie wyraża zgody na sprzedaż w cenie zbliżonej do rynkowej lub na wyłączenie tego produktu z umowy bez konieczności ponoszenia kary przez Wykonawcę. Zamawiający dopuszcza w takim przypadku dostarczenie równoważnika leku pod warunkiem zachowania tej samej substancji czynnej, postaci leku oraz profilu uwalniania.</w:t>
      </w:r>
    </w:p>
    <w:p w:rsidR="005D54C1" w:rsidRPr="005D54C1" w:rsidRDefault="005D54C1" w:rsidP="005D54C1">
      <w:pPr>
        <w:widowControl w:val="0"/>
        <w:suppressAutoHyphens/>
        <w:jc w:val="both"/>
        <w:rPr>
          <w:rFonts w:asciiTheme="minorHAnsi" w:eastAsia="SimSun" w:hAnsiTheme="minorHAnsi" w:cstheme="minorHAnsi"/>
          <w:kern w:val="1"/>
          <w:sz w:val="22"/>
          <w:szCs w:val="22"/>
          <w:lang w:eastAsia="hi-IN" w:bidi="hi-IN"/>
        </w:rPr>
      </w:pPr>
    </w:p>
    <w:p w:rsidR="00A3417A" w:rsidRPr="00A3417A" w:rsidRDefault="00A3417A" w:rsidP="005D54C1">
      <w:pPr>
        <w:widowControl w:val="0"/>
        <w:suppressAutoHyphens/>
        <w:jc w:val="both"/>
        <w:rPr>
          <w:rFonts w:asciiTheme="minorHAnsi" w:eastAsia="SimSun" w:hAnsiTheme="minorHAnsi" w:cstheme="minorHAnsi"/>
          <w:b/>
          <w:kern w:val="1"/>
          <w:sz w:val="22"/>
          <w:szCs w:val="22"/>
          <w:lang w:eastAsia="hi-IN" w:bidi="hi-IN"/>
        </w:rPr>
      </w:pPr>
      <w:r w:rsidRPr="00A3417A">
        <w:rPr>
          <w:rFonts w:asciiTheme="minorHAnsi" w:eastAsia="SimSun" w:hAnsiTheme="minorHAnsi" w:cstheme="minorHAnsi"/>
          <w:b/>
          <w:kern w:val="1"/>
          <w:sz w:val="22"/>
          <w:szCs w:val="22"/>
          <w:lang w:eastAsia="hi-IN" w:bidi="hi-IN"/>
        </w:rPr>
        <w:t>Pytanie 4</w:t>
      </w:r>
    </w:p>
    <w:p w:rsidR="005D54C1" w:rsidRDefault="005D54C1"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 xml:space="preserve">Do §4 ust.1 </w:t>
      </w:r>
      <w:proofErr w:type="spellStart"/>
      <w:r w:rsidRPr="005D54C1">
        <w:rPr>
          <w:rFonts w:asciiTheme="minorHAnsi" w:eastAsia="SimSun" w:hAnsiTheme="minorHAnsi" w:cstheme="minorHAnsi"/>
          <w:kern w:val="1"/>
          <w:sz w:val="22"/>
          <w:szCs w:val="22"/>
          <w:lang w:eastAsia="hi-IN" w:bidi="hi-IN"/>
        </w:rPr>
        <w:t>tiret</w:t>
      </w:r>
      <w:proofErr w:type="spellEnd"/>
      <w:r w:rsidRPr="005D54C1">
        <w:rPr>
          <w:rFonts w:asciiTheme="minorHAnsi" w:eastAsia="SimSun" w:hAnsiTheme="minorHAnsi" w:cstheme="minorHAnsi"/>
          <w:kern w:val="1"/>
          <w:sz w:val="22"/>
          <w:szCs w:val="22"/>
          <w:lang w:eastAsia="hi-IN" w:bidi="hi-IN"/>
        </w:rPr>
        <w:t xml:space="preserve"> pierwsze wzoru umowy. Czy Zamawiający wyrazi zgodę na naliczanie ewentualnej kary umownej za opóźnienie w realizacji zobowiązań w wysokości 1% wartości brutto niedostarczonego przedmiotu sprzedaży za każdy dzień zwłoki?</w:t>
      </w:r>
    </w:p>
    <w:p w:rsidR="00A3417A" w:rsidRDefault="00A3417A" w:rsidP="005D54C1">
      <w:pPr>
        <w:widowControl w:val="0"/>
        <w:suppressAutoHyphens/>
        <w:jc w:val="both"/>
        <w:rPr>
          <w:rFonts w:asciiTheme="minorHAnsi" w:eastAsia="SimSun" w:hAnsiTheme="minorHAnsi" w:cstheme="minorHAnsi"/>
          <w:b/>
          <w:kern w:val="1"/>
          <w:sz w:val="22"/>
          <w:szCs w:val="22"/>
          <w:lang w:eastAsia="hi-IN" w:bidi="hi-IN"/>
        </w:rPr>
      </w:pPr>
      <w:r w:rsidRPr="00A3417A">
        <w:rPr>
          <w:rFonts w:asciiTheme="minorHAnsi" w:eastAsia="SimSun" w:hAnsiTheme="minorHAnsi" w:cstheme="minorHAnsi"/>
          <w:b/>
          <w:kern w:val="1"/>
          <w:sz w:val="22"/>
          <w:szCs w:val="22"/>
          <w:lang w:eastAsia="hi-IN" w:bidi="hi-IN"/>
        </w:rPr>
        <w:t>Odpowiedź:</w:t>
      </w:r>
    </w:p>
    <w:p w:rsidR="00612BD0" w:rsidRPr="00612BD0" w:rsidRDefault="00612BD0" w:rsidP="005D54C1">
      <w:pPr>
        <w:widowControl w:val="0"/>
        <w:suppressAutoHyphens/>
        <w:jc w:val="both"/>
        <w:rPr>
          <w:rFonts w:asciiTheme="minorHAnsi" w:eastAsia="SimSun" w:hAnsiTheme="minorHAnsi" w:cstheme="minorHAnsi"/>
          <w:kern w:val="1"/>
          <w:sz w:val="22"/>
          <w:szCs w:val="22"/>
          <w:lang w:eastAsia="hi-IN" w:bidi="hi-IN"/>
        </w:rPr>
      </w:pPr>
      <w:bookmarkStart w:id="1" w:name="_Hlk215471775"/>
      <w:r w:rsidRPr="00612BD0">
        <w:rPr>
          <w:rFonts w:asciiTheme="minorHAnsi" w:eastAsia="SimSun" w:hAnsiTheme="minorHAnsi" w:cstheme="minorHAnsi"/>
          <w:kern w:val="1"/>
          <w:sz w:val="22"/>
          <w:szCs w:val="22"/>
          <w:lang w:eastAsia="hi-IN" w:bidi="hi-IN"/>
        </w:rPr>
        <w:t>Zgodnie z SWZ.</w:t>
      </w:r>
      <w:bookmarkEnd w:id="1"/>
    </w:p>
    <w:p w:rsidR="005D54C1" w:rsidRPr="005D54C1" w:rsidRDefault="005D54C1" w:rsidP="005D54C1">
      <w:pPr>
        <w:widowControl w:val="0"/>
        <w:suppressAutoHyphens/>
        <w:jc w:val="both"/>
        <w:rPr>
          <w:rFonts w:asciiTheme="minorHAnsi" w:eastAsia="SimSun" w:hAnsiTheme="minorHAnsi" w:cstheme="minorHAnsi"/>
          <w:kern w:val="1"/>
          <w:sz w:val="22"/>
          <w:szCs w:val="22"/>
          <w:lang w:eastAsia="hi-IN" w:bidi="hi-IN"/>
        </w:rPr>
      </w:pPr>
    </w:p>
    <w:p w:rsidR="00A3417A" w:rsidRPr="00A3417A" w:rsidRDefault="00A3417A" w:rsidP="005D54C1">
      <w:pPr>
        <w:widowControl w:val="0"/>
        <w:suppressAutoHyphens/>
        <w:jc w:val="both"/>
        <w:rPr>
          <w:rFonts w:asciiTheme="minorHAnsi" w:eastAsia="SimSun" w:hAnsiTheme="minorHAnsi" w:cstheme="minorHAnsi"/>
          <w:b/>
          <w:kern w:val="1"/>
          <w:sz w:val="22"/>
          <w:szCs w:val="22"/>
          <w:lang w:eastAsia="hi-IN" w:bidi="hi-IN"/>
        </w:rPr>
      </w:pPr>
      <w:r w:rsidRPr="00A3417A">
        <w:rPr>
          <w:rFonts w:asciiTheme="minorHAnsi" w:eastAsia="SimSun" w:hAnsiTheme="minorHAnsi" w:cstheme="minorHAnsi"/>
          <w:b/>
          <w:kern w:val="1"/>
          <w:sz w:val="22"/>
          <w:szCs w:val="22"/>
          <w:lang w:eastAsia="hi-IN" w:bidi="hi-IN"/>
        </w:rPr>
        <w:t>Pytanie 5</w:t>
      </w:r>
    </w:p>
    <w:p w:rsidR="005D54C1" w:rsidRDefault="005D54C1"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 xml:space="preserve">Do §4 ust. 1 </w:t>
      </w:r>
      <w:proofErr w:type="spellStart"/>
      <w:r w:rsidRPr="005D54C1">
        <w:rPr>
          <w:rFonts w:asciiTheme="minorHAnsi" w:eastAsia="SimSun" w:hAnsiTheme="minorHAnsi" w:cstheme="minorHAnsi"/>
          <w:kern w:val="1"/>
          <w:sz w:val="22"/>
          <w:szCs w:val="22"/>
          <w:lang w:eastAsia="hi-IN" w:bidi="hi-IN"/>
        </w:rPr>
        <w:t>tiret</w:t>
      </w:r>
      <w:proofErr w:type="spellEnd"/>
      <w:r w:rsidRPr="005D54C1">
        <w:rPr>
          <w:rFonts w:asciiTheme="minorHAnsi" w:eastAsia="SimSun" w:hAnsiTheme="minorHAnsi" w:cstheme="minorHAnsi"/>
          <w:kern w:val="1"/>
          <w:sz w:val="22"/>
          <w:szCs w:val="22"/>
          <w:lang w:eastAsia="hi-IN" w:bidi="hi-IN"/>
        </w:rPr>
        <w:t xml:space="preserve"> drugie wzoru umowy. Czy Zamawiający wyrazi zgodę na naliczanie ewentualnej kary umownej za odmowę przyjęcia zamówienia w wysokości 1% wartości zamówienia za każdy rozpoczęty dzień zwłoki?</w:t>
      </w:r>
    </w:p>
    <w:p w:rsidR="00A3417A" w:rsidRDefault="00A3417A" w:rsidP="005D54C1">
      <w:pPr>
        <w:widowControl w:val="0"/>
        <w:suppressAutoHyphens/>
        <w:jc w:val="both"/>
        <w:rPr>
          <w:rFonts w:asciiTheme="minorHAnsi" w:eastAsia="SimSun" w:hAnsiTheme="minorHAnsi" w:cstheme="minorHAnsi"/>
          <w:b/>
          <w:kern w:val="1"/>
          <w:sz w:val="22"/>
          <w:szCs w:val="22"/>
          <w:lang w:eastAsia="hi-IN" w:bidi="hi-IN"/>
        </w:rPr>
      </w:pPr>
      <w:r w:rsidRPr="00A3417A">
        <w:rPr>
          <w:rFonts w:asciiTheme="minorHAnsi" w:eastAsia="SimSun" w:hAnsiTheme="minorHAnsi" w:cstheme="minorHAnsi"/>
          <w:b/>
          <w:kern w:val="1"/>
          <w:sz w:val="22"/>
          <w:szCs w:val="22"/>
          <w:lang w:eastAsia="hi-IN" w:bidi="hi-IN"/>
        </w:rPr>
        <w:t>Odpowiedź:</w:t>
      </w:r>
    </w:p>
    <w:p w:rsidR="00612BD0" w:rsidRPr="005D54C1" w:rsidRDefault="00612BD0" w:rsidP="005D54C1">
      <w:pPr>
        <w:widowControl w:val="0"/>
        <w:suppressAutoHyphens/>
        <w:jc w:val="both"/>
        <w:rPr>
          <w:rFonts w:asciiTheme="minorHAnsi" w:eastAsia="SimSun" w:hAnsiTheme="minorHAnsi" w:cstheme="minorHAnsi"/>
          <w:b/>
          <w:kern w:val="1"/>
          <w:sz w:val="22"/>
          <w:szCs w:val="22"/>
          <w:lang w:eastAsia="hi-IN" w:bidi="hi-IN"/>
        </w:rPr>
      </w:pPr>
      <w:r w:rsidRPr="00612BD0">
        <w:rPr>
          <w:rFonts w:asciiTheme="minorHAnsi" w:eastAsia="SimSun" w:hAnsiTheme="minorHAnsi" w:cstheme="minorHAnsi"/>
          <w:kern w:val="1"/>
          <w:sz w:val="22"/>
          <w:szCs w:val="22"/>
          <w:lang w:eastAsia="hi-IN" w:bidi="hi-IN"/>
        </w:rPr>
        <w:t>Zgodnie z SWZ.</w:t>
      </w:r>
    </w:p>
    <w:p w:rsidR="005D54C1" w:rsidRPr="005D54C1" w:rsidRDefault="005D54C1" w:rsidP="005D54C1">
      <w:pPr>
        <w:widowControl w:val="0"/>
        <w:suppressAutoHyphens/>
        <w:jc w:val="both"/>
        <w:rPr>
          <w:rFonts w:asciiTheme="minorHAnsi" w:eastAsia="SimSun" w:hAnsiTheme="minorHAnsi" w:cstheme="minorHAnsi"/>
          <w:kern w:val="1"/>
          <w:sz w:val="22"/>
          <w:szCs w:val="22"/>
          <w:lang w:eastAsia="hi-IN" w:bidi="hi-IN"/>
        </w:rPr>
      </w:pPr>
    </w:p>
    <w:p w:rsidR="00A3417A" w:rsidRPr="00A3417A" w:rsidRDefault="00A3417A" w:rsidP="005D54C1">
      <w:pPr>
        <w:widowControl w:val="0"/>
        <w:suppressAutoHyphens/>
        <w:jc w:val="both"/>
        <w:rPr>
          <w:rFonts w:asciiTheme="minorHAnsi" w:eastAsia="SimSun" w:hAnsiTheme="minorHAnsi" w:cstheme="minorHAnsi"/>
          <w:b/>
          <w:kern w:val="1"/>
          <w:sz w:val="22"/>
          <w:szCs w:val="22"/>
          <w:lang w:eastAsia="hi-IN" w:bidi="hi-IN"/>
        </w:rPr>
      </w:pPr>
      <w:r w:rsidRPr="00A3417A">
        <w:rPr>
          <w:rFonts w:asciiTheme="minorHAnsi" w:eastAsia="SimSun" w:hAnsiTheme="minorHAnsi" w:cstheme="minorHAnsi"/>
          <w:b/>
          <w:kern w:val="1"/>
          <w:sz w:val="22"/>
          <w:szCs w:val="22"/>
          <w:lang w:eastAsia="hi-IN" w:bidi="hi-IN"/>
        </w:rPr>
        <w:t>Pytanie 6</w:t>
      </w:r>
    </w:p>
    <w:p w:rsidR="005D54C1" w:rsidRDefault="005D54C1"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 xml:space="preserve">Do §4 ust. 1 </w:t>
      </w:r>
      <w:proofErr w:type="spellStart"/>
      <w:r w:rsidRPr="005D54C1">
        <w:rPr>
          <w:rFonts w:asciiTheme="minorHAnsi" w:eastAsia="SimSun" w:hAnsiTheme="minorHAnsi" w:cstheme="minorHAnsi"/>
          <w:kern w:val="1"/>
          <w:sz w:val="22"/>
          <w:szCs w:val="22"/>
          <w:lang w:eastAsia="hi-IN" w:bidi="hi-IN"/>
        </w:rPr>
        <w:t>tiret</w:t>
      </w:r>
      <w:proofErr w:type="spellEnd"/>
      <w:r w:rsidRPr="005D54C1">
        <w:rPr>
          <w:rFonts w:asciiTheme="minorHAnsi" w:eastAsia="SimSun" w:hAnsiTheme="minorHAnsi" w:cstheme="minorHAnsi"/>
          <w:kern w:val="1"/>
          <w:sz w:val="22"/>
          <w:szCs w:val="22"/>
          <w:lang w:eastAsia="hi-IN" w:bidi="hi-IN"/>
        </w:rPr>
        <w:t xml:space="preserve"> trzecie wzoru umowy. Czy Zamawiający wyrazi zgodę na naliczanie ewentualnej kary umownej za realizowanie umowy niezgodnie z jej treścią w wysokości 50,00 zł dziennie? Jednocześnie prosimy o wskazanie, jakie okoliczności Zamawiający ma na myśli jako przypadki realizowania umowy niezgodnie z jej treścią, skutkujące obowiązkiem zapłaty kary umownej przez Wykonawcę oraz ustanowienie zamkniętego katalogu tych okoliczności, ze względu na fakt, że warunkiem prawidłowo i skutecznie zastrzeżonej kary umownej jest precyzyjne i konkretnie </w:t>
      </w:r>
      <w:r w:rsidRPr="005D54C1">
        <w:rPr>
          <w:rFonts w:asciiTheme="minorHAnsi" w:eastAsia="SimSun" w:hAnsiTheme="minorHAnsi" w:cstheme="minorHAnsi"/>
          <w:kern w:val="1"/>
          <w:sz w:val="22"/>
          <w:szCs w:val="22"/>
          <w:lang w:eastAsia="hi-IN" w:bidi="hi-IN"/>
        </w:rPr>
        <w:lastRenderedPageBreak/>
        <w:t>wskazanie obowiązku strony, którego nienależyte wykonanie rodzi obowiązek zapłaty kary umownej.</w:t>
      </w:r>
    </w:p>
    <w:p w:rsidR="00A3417A" w:rsidRDefault="00A3417A" w:rsidP="005D54C1">
      <w:pPr>
        <w:widowControl w:val="0"/>
        <w:suppressAutoHyphens/>
        <w:jc w:val="both"/>
        <w:rPr>
          <w:rFonts w:asciiTheme="minorHAnsi" w:eastAsia="SimSun" w:hAnsiTheme="minorHAnsi" w:cstheme="minorHAnsi"/>
          <w:b/>
          <w:kern w:val="1"/>
          <w:sz w:val="22"/>
          <w:szCs w:val="22"/>
          <w:lang w:eastAsia="hi-IN" w:bidi="hi-IN"/>
        </w:rPr>
      </w:pPr>
      <w:r w:rsidRPr="00A3417A">
        <w:rPr>
          <w:rFonts w:asciiTheme="minorHAnsi" w:eastAsia="SimSun" w:hAnsiTheme="minorHAnsi" w:cstheme="minorHAnsi"/>
          <w:b/>
          <w:kern w:val="1"/>
          <w:sz w:val="22"/>
          <w:szCs w:val="22"/>
          <w:lang w:eastAsia="hi-IN" w:bidi="hi-IN"/>
        </w:rPr>
        <w:t>Odpowiedź:</w:t>
      </w:r>
    </w:p>
    <w:p w:rsidR="00612BD0" w:rsidRPr="005D54C1" w:rsidRDefault="00612BD0" w:rsidP="005D54C1">
      <w:pPr>
        <w:widowControl w:val="0"/>
        <w:suppressAutoHyphens/>
        <w:jc w:val="both"/>
        <w:rPr>
          <w:rFonts w:asciiTheme="minorHAnsi" w:eastAsia="SimSun" w:hAnsiTheme="minorHAnsi" w:cstheme="minorHAnsi"/>
          <w:b/>
          <w:kern w:val="1"/>
          <w:sz w:val="22"/>
          <w:szCs w:val="22"/>
          <w:lang w:eastAsia="hi-IN" w:bidi="hi-IN"/>
        </w:rPr>
      </w:pPr>
      <w:r w:rsidRPr="00612BD0">
        <w:rPr>
          <w:rFonts w:asciiTheme="minorHAnsi" w:eastAsia="SimSun" w:hAnsiTheme="minorHAnsi" w:cstheme="minorHAnsi"/>
          <w:kern w:val="1"/>
          <w:sz w:val="22"/>
          <w:szCs w:val="22"/>
          <w:lang w:eastAsia="hi-IN" w:bidi="hi-IN"/>
        </w:rPr>
        <w:t>Zgodnie z SWZ.</w:t>
      </w:r>
    </w:p>
    <w:p w:rsidR="005D54C1" w:rsidRPr="005D54C1" w:rsidRDefault="005D54C1" w:rsidP="005D54C1">
      <w:pPr>
        <w:widowControl w:val="0"/>
        <w:suppressAutoHyphens/>
        <w:jc w:val="both"/>
        <w:rPr>
          <w:rFonts w:asciiTheme="minorHAnsi" w:eastAsia="SimSun" w:hAnsiTheme="minorHAnsi" w:cstheme="minorHAnsi"/>
          <w:kern w:val="1"/>
          <w:sz w:val="22"/>
          <w:szCs w:val="22"/>
          <w:lang w:eastAsia="hi-IN" w:bidi="hi-IN"/>
        </w:rPr>
      </w:pPr>
    </w:p>
    <w:p w:rsidR="00A3417A" w:rsidRPr="00A3417A" w:rsidRDefault="00A3417A" w:rsidP="005D54C1">
      <w:pPr>
        <w:widowControl w:val="0"/>
        <w:suppressAutoHyphens/>
        <w:jc w:val="both"/>
        <w:rPr>
          <w:rFonts w:asciiTheme="minorHAnsi" w:eastAsia="SimSun" w:hAnsiTheme="minorHAnsi" w:cstheme="minorHAnsi"/>
          <w:b/>
          <w:kern w:val="1"/>
          <w:sz w:val="22"/>
          <w:szCs w:val="22"/>
          <w:lang w:eastAsia="hi-IN" w:bidi="hi-IN"/>
        </w:rPr>
      </w:pPr>
      <w:r w:rsidRPr="00A3417A">
        <w:rPr>
          <w:rFonts w:asciiTheme="minorHAnsi" w:eastAsia="SimSun" w:hAnsiTheme="minorHAnsi" w:cstheme="minorHAnsi"/>
          <w:b/>
          <w:kern w:val="1"/>
          <w:sz w:val="22"/>
          <w:szCs w:val="22"/>
          <w:lang w:eastAsia="hi-IN" w:bidi="hi-IN"/>
        </w:rPr>
        <w:t>Pytanie 7</w:t>
      </w:r>
    </w:p>
    <w:p w:rsidR="005D54C1" w:rsidRPr="005D54C1" w:rsidRDefault="005D54C1"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Do §5 ust. 9 oraz 13 -14 wzoru umowy. Prosimy o dodanie zastrzeżenia, że w przypadku, gdy strony nie dojdą do porozumienia w zakresie zmiany wynagrodzenia Wykonawcy w oparciu o §5 ust. 9 oraz 13 -14 wzoru umowy, zarówno Wykonawca jaki i Zamawiający nabędą uprawnienie do rozwiązania w tej części umowy, za porozumieniem stron, z zachowaniem jednomiesięcznego okresu wypowiedzenia, bez obowiązku ponoszenia z tego tytułu kar umownych.</w:t>
      </w:r>
    </w:p>
    <w:p w:rsidR="005D54C1" w:rsidRDefault="00566494" w:rsidP="005D54C1">
      <w:pPr>
        <w:widowControl w:val="0"/>
        <w:suppressAutoHyphens/>
        <w:jc w:val="both"/>
        <w:rPr>
          <w:rFonts w:asciiTheme="minorHAnsi" w:eastAsia="SimSun" w:hAnsiTheme="minorHAnsi" w:cstheme="minorHAnsi"/>
          <w:b/>
          <w:kern w:val="1"/>
          <w:sz w:val="22"/>
          <w:szCs w:val="22"/>
          <w:lang w:eastAsia="hi-IN" w:bidi="hi-IN"/>
        </w:rPr>
      </w:pPr>
      <w:r w:rsidRPr="00566494">
        <w:rPr>
          <w:rFonts w:asciiTheme="minorHAnsi" w:eastAsia="SimSun" w:hAnsiTheme="minorHAnsi" w:cstheme="minorHAnsi"/>
          <w:b/>
          <w:kern w:val="1"/>
          <w:sz w:val="22"/>
          <w:szCs w:val="22"/>
          <w:lang w:eastAsia="hi-IN" w:bidi="hi-IN"/>
        </w:rPr>
        <w:t>Odpowiedź:</w:t>
      </w:r>
    </w:p>
    <w:p w:rsidR="00612BD0" w:rsidRPr="00566494" w:rsidRDefault="00612BD0" w:rsidP="005D54C1">
      <w:pPr>
        <w:widowControl w:val="0"/>
        <w:suppressAutoHyphens/>
        <w:jc w:val="both"/>
        <w:rPr>
          <w:rFonts w:asciiTheme="minorHAnsi" w:eastAsia="SimSun" w:hAnsiTheme="minorHAnsi" w:cstheme="minorHAnsi"/>
          <w:b/>
          <w:kern w:val="1"/>
          <w:sz w:val="22"/>
          <w:szCs w:val="22"/>
          <w:lang w:eastAsia="hi-IN" w:bidi="hi-IN"/>
        </w:rPr>
      </w:pPr>
      <w:r w:rsidRPr="00612BD0">
        <w:rPr>
          <w:rFonts w:asciiTheme="minorHAnsi" w:eastAsia="SimSun" w:hAnsiTheme="minorHAnsi" w:cstheme="minorHAnsi"/>
          <w:kern w:val="1"/>
          <w:sz w:val="22"/>
          <w:szCs w:val="22"/>
          <w:lang w:eastAsia="hi-IN" w:bidi="hi-IN"/>
        </w:rPr>
        <w:t>Zgodnie z SWZ.</w:t>
      </w:r>
    </w:p>
    <w:p w:rsidR="00566494" w:rsidRPr="005D54C1" w:rsidRDefault="00566494" w:rsidP="005D54C1">
      <w:pPr>
        <w:widowControl w:val="0"/>
        <w:suppressAutoHyphens/>
        <w:jc w:val="both"/>
        <w:rPr>
          <w:rFonts w:asciiTheme="minorHAnsi" w:eastAsia="SimSun" w:hAnsiTheme="minorHAnsi" w:cstheme="minorHAnsi"/>
          <w:kern w:val="1"/>
          <w:sz w:val="22"/>
          <w:szCs w:val="22"/>
          <w:lang w:eastAsia="hi-IN" w:bidi="hi-IN"/>
        </w:rPr>
      </w:pPr>
    </w:p>
    <w:p w:rsidR="00B87D4A" w:rsidRPr="00B87D4A" w:rsidRDefault="00B87D4A" w:rsidP="005D54C1">
      <w:pPr>
        <w:widowControl w:val="0"/>
        <w:suppressAutoHyphens/>
        <w:jc w:val="both"/>
        <w:rPr>
          <w:rFonts w:asciiTheme="minorHAnsi" w:eastAsia="SimSun" w:hAnsiTheme="minorHAnsi" w:cstheme="minorHAnsi"/>
          <w:b/>
          <w:kern w:val="1"/>
          <w:sz w:val="22"/>
          <w:szCs w:val="22"/>
          <w:lang w:eastAsia="hi-IN" w:bidi="hi-IN"/>
        </w:rPr>
      </w:pPr>
      <w:r w:rsidRPr="00B87D4A">
        <w:rPr>
          <w:rFonts w:asciiTheme="minorHAnsi" w:eastAsia="SimSun" w:hAnsiTheme="minorHAnsi" w:cstheme="minorHAnsi"/>
          <w:b/>
          <w:kern w:val="1"/>
          <w:sz w:val="22"/>
          <w:szCs w:val="22"/>
          <w:lang w:eastAsia="hi-IN" w:bidi="hi-IN"/>
        </w:rPr>
        <w:t>Pytanie 8</w:t>
      </w:r>
    </w:p>
    <w:p w:rsidR="005D54C1" w:rsidRDefault="005D54C1" w:rsidP="005D54C1">
      <w:pPr>
        <w:widowControl w:val="0"/>
        <w:suppressAutoHyphens/>
        <w:jc w:val="both"/>
        <w:rPr>
          <w:rFonts w:asciiTheme="minorHAnsi" w:eastAsia="SimSun" w:hAnsiTheme="minorHAnsi" w:cstheme="minorHAnsi"/>
          <w:kern w:val="1"/>
          <w:sz w:val="22"/>
          <w:szCs w:val="22"/>
          <w:lang w:eastAsia="hi-IN" w:bidi="hi-IN"/>
        </w:rPr>
      </w:pPr>
      <w:r w:rsidRPr="005D54C1">
        <w:rPr>
          <w:rFonts w:asciiTheme="minorHAnsi" w:eastAsia="SimSun" w:hAnsiTheme="minorHAnsi" w:cstheme="minorHAnsi"/>
          <w:kern w:val="1"/>
          <w:sz w:val="22"/>
          <w:szCs w:val="22"/>
          <w:lang w:eastAsia="hi-IN" w:bidi="hi-IN"/>
        </w:rPr>
        <w:t xml:space="preserve">Do §5 projektu umowy. Ze względu na podwójne zastosowanie numeracji w </w:t>
      </w:r>
      <w:bookmarkStart w:id="2" w:name="_Hlk214869749"/>
      <w:r w:rsidRPr="005D54C1">
        <w:rPr>
          <w:rFonts w:asciiTheme="minorHAnsi" w:eastAsia="SimSun" w:hAnsiTheme="minorHAnsi" w:cstheme="minorHAnsi"/>
          <w:kern w:val="1"/>
          <w:sz w:val="22"/>
          <w:szCs w:val="22"/>
          <w:lang w:eastAsia="hi-IN" w:bidi="hi-IN"/>
        </w:rPr>
        <w:t>§5</w:t>
      </w:r>
      <w:bookmarkEnd w:id="2"/>
      <w:r w:rsidRPr="005D54C1">
        <w:rPr>
          <w:rFonts w:asciiTheme="minorHAnsi" w:eastAsia="SimSun" w:hAnsiTheme="minorHAnsi" w:cstheme="minorHAnsi"/>
          <w:kern w:val="1"/>
          <w:sz w:val="22"/>
          <w:szCs w:val="22"/>
          <w:lang w:eastAsia="hi-IN" w:bidi="hi-IN"/>
        </w:rPr>
        <w:t xml:space="preserve"> ustępu 12, 13, 14 prosimy o wprowadzenie poprawnej ich kolejności.</w:t>
      </w:r>
    </w:p>
    <w:p w:rsidR="00B87D4A" w:rsidRPr="00B87D4A" w:rsidRDefault="00B87D4A" w:rsidP="005D54C1">
      <w:pPr>
        <w:widowControl w:val="0"/>
        <w:suppressAutoHyphens/>
        <w:jc w:val="both"/>
        <w:rPr>
          <w:rFonts w:asciiTheme="minorHAnsi" w:eastAsia="SimSun" w:hAnsiTheme="minorHAnsi" w:cstheme="minorHAnsi"/>
          <w:b/>
          <w:kern w:val="1"/>
          <w:sz w:val="22"/>
          <w:szCs w:val="22"/>
          <w:lang w:eastAsia="hi-IN" w:bidi="hi-IN"/>
        </w:rPr>
      </w:pPr>
      <w:r w:rsidRPr="00B87D4A">
        <w:rPr>
          <w:rFonts w:asciiTheme="minorHAnsi" w:eastAsia="SimSun" w:hAnsiTheme="minorHAnsi" w:cstheme="minorHAnsi"/>
          <w:b/>
          <w:kern w:val="1"/>
          <w:sz w:val="22"/>
          <w:szCs w:val="22"/>
          <w:lang w:eastAsia="hi-IN" w:bidi="hi-IN"/>
        </w:rPr>
        <w:t>Odpowiedź:</w:t>
      </w:r>
    </w:p>
    <w:p w:rsidR="005D54C1" w:rsidRDefault="00B87D4A" w:rsidP="00B87D4A">
      <w:pPr>
        <w:jc w:val="both"/>
        <w:rPr>
          <w:rFonts w:asciiTheme="minorHAnsi" w:eastAsia="SimSun" w:hAnsiTheme="minorHAnsi" w:cstheme="minorHAnsi"/>
          <w:kern w:val="1"/>
          <w:sz w:val="22"/>
          <w:szCs w:val="22"/>
          <w:lang w:eastAsia="hi-IN" w:bidi="hi-IN"/>
        </w:rPr>
      </w:pPr>
      <w:r>
        <w:rPr>
          <w:rFonts w:asciiTheme="minorHAnsi" w:hAnsiTheme="minorHAnsi" w:cstheme="minorHAnsi"/>
          <w:sz w:val="22"/>
          <w:szCs w:val="22"/>
          <w:lang w:eastAsia="en-US"/>
        </w:rPr>
        <w:t xml:space="preserve">Zamawiający dokonuje poprawy kolejności </w:t>
      </w:r>
      <w:r w:rsidR="00FC26AD">
        <w:rPr>
          <w:rFonts w:asciiTheme="minorHAnsi" w:hAnsiTheme="minorHAnsi" w:cstheme="minorHAnsi"/>
          <w:sz w:val="22"/>
          <w:szCs w:val="22"/>
          <w:lang w:eastAsia="en-US"/>
        </w:rPr>
        <w:t>numeracj</w:t>
      </w:r>
      <w:r>
        <w:rPr>
          <w:rFonts w:asciiTheme="minorHAnsi" w:hAnsiTheme="minorHAnsi" w:cstheme="minorHAnsi"/>
          <w:sz w:val="22"/>
          <w:szCs w:val="22"/>
          <w:lang w:eastAsia="en-US"/>
        </w:rPr>
        <w:t xml:space="preserve">i oraz usuwa zduplikowany punkt. </w:t>
      </w:r>
      <w:r w:rsidRPr="005D54C1">
        <w:rPr>
          <w:rFonts w:asciiTheme="minorHAnsi" w:eastAsia="SimSun" w:hAnsiTheme="minorHAnsi" w:cstheme="minorHAnsi"/>
          <w:kern w:val="1"/>
          <w:sz w:val="22"/>
          <w:szCs w:val="22"/>
          <w:lang w:eastAsia="hi-IN" w:bidi="hi-IN"/>
        </w:rPr>
        <w:t>§5</w:t>
      </w:r>
      <w:r>
        <w:rPr>
          <w:rFonts w:asciiTheme="minorHAnsi" w:eastAsia="SimSun" w:hAnsiTheme="minorHAnsi" w:cstheme="minorHAnsi"/>
          <w:kern w:val="1"/>
          <w:sz w:val="22"/>
          <w:szCs w:val="22"/>
          <w:lang w:eastAsia="hi-IN" w:bidi="hi-IN"/>
        </w:rPr>
        <w:t xml:space="preserve"> wzoru umowy sprzedaży załącznika nr 3 do SWZ otrzymuje następujące brzmienie:</w:t>
      </w:r>
    </w:p>
    <w:p w:rsidR="00E27509" w:rsidRPr="00E27509" w:rsidRDefault="00E27509" w:rsidP="00E27509">
      <w:pPr>
        <w:numPr>
          <w:ilvl w:val="0"/>
          <w:numId w:val="4"/>
        </w:numPr>
        <w:spacing w:line="259" w:lineRule="auto"/>
        <w:ind w:left="284" w:hanging="284"/>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Wartość umowy nie może ulec zmianie z wyjątkiem sytuacji, gdy doszło do zmiany: </w:t>
      </w:r>
    </w:p>
    <w:p w:rsidR="00E27509" w:rsidRPr="00E27509" w:rsidRDefault="00E27509" w:rsidP="00E27509">
      <w:pPr>
        <w:numPr>
          <w:ilvl w:val="0"/>
          <w:numId w:val="3"/>
        </w:numPr>
        <w:spacing w:line="259" w:lineRule="auto"/>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stawki podatku od towarów i usług oraz podatku akcyzowego, </w:t>
      </w:r>
    </w:p>
    <w:p w:rsidR="00E27509" w:rsidRPr="00E27509" w:rsidRDefault="00E27509" w:rsidP="00E27509">
      <w:pPr>
        <w:numPr>
          <w:ilvl w:val="0"/>
          <w:numId w:val="3"/>
        </w:numPr>
        <w:spacing w:line="259" w:lineRule="auto"/>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wysokości minimalnego wynagrodzenia za pracę albo wysokości minimalnej stawki godzinowej ustalonych na podstawie przepisów ustawy z dnia 10 października 2002 r. o minimalnym wynagrodzeniu za pracę,</w:t>
      </w:r>
    </w:p>
    <w:p w:rsidR="00E27509" w:rsidRPr="00E27509" w:rsidRDefault="00E27509" w:rsidP="00E27509">
      <w:pPr>
        <w:numPr>
          <w:ilvl w:val="0"/>
          <w:numId w:val="3"/>
        </w:numPr>
        <w:spacing w:line="259" w:lineRule="auto"/>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zasad podlegania ubezpieczeniom społecznym lub ubezpieczeniu zdrowotnemu, wysokości składki na ubezpieczenia społeczne lub zdrowotne, </w:t>
      </w:r>
    </w:p>
    <w:p w:rsidR="00E27509" w:rsidRPr="00E27509" w:rsidRDefault="00E27509" w:rsidP="00E27509">
      <w:pPr>
        <w:numPr>
          <w:ilvl w:val="0"/>
          <w:numId w:val="3"/>
        </w:numPr>
        <w:spacing w:line="259" w:lineRule="auto"/>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zasad gromadzenia i wysokości wpłat do pracowniczych planów kapitałowych, o których mowa w ustawie z dnia 4 października 2018 r. o pracowniczych planach kapitałowych (Dz.U. poz. 2215 oraz z 2019r. poz. 1074 i 1572), </w:t>
      </w:r>
    </w:p>
    <w:p w:rsidR="00E27509" w:rsidRPr="00E27509" w:rsidRDefault="00E27509" w:rsidP="00E27509">
      <w:pPr>
        <w:numPr>
          <w:ilvl w:val="0"/>
          <w:numId w:val="3"/>
        </w:numPr>
        <w:spacing w:after="160" w:line="259" w:lineRule="auto"/>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zmian stawek opłat celnych wprowadzonych decyzjami odnośnych władz ,</w:t>
      </w:r>
    </w:p>
    <w:p w:rsidR="00E27509" w:rsidRPr="00E27509" w:rsidRDefault="00E27509" w:rsidP="00E27509">
      <w:pPr>
        <w:numPr>
          <w:ilvl w:val="0"/>
          <w:numId w:val="3"/>
        </w:numPr>
        <w:spacing w:line="259" w:lineRule="auto"/>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uzasadnionych zmian wprowadzonych przez producentów leków, na podstawie dokumentu wystawionego przez producenta (oświadczenie lub faktura), </w:t>
      </w:r>
    </w:p>
    <w:p w:rsidR="00E27509" w:rsidRPr="00E27509" w:rsidRDefault="00E27509" w:rsidP="00E27509">
      <w:pPr>
        <w:numPr>
          <w:ilvl w:val="0"/>
          <w:numId w:val="3"/>
        </w:numPr>
        <w:spacing w:line="259" w:lineRule="auto"/>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bCs/>
          <w:sz w:val="22"/>
          <w:szCs w:val="22"/>
          <w:lang w:eastAsia="en-US"/>
        </w:rPr>
        <w:t>zmiany wskaźnika cen towarów i usług konsumpcyjnych publikowany przez GUS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123"/>
      </w:tblGrid>
      <w:tr w:rsidR="00E27509" w:rsidRPr="00E27509" w:rsidTr="00620D3A">
        <w:trPr>
          <w:tblCellSpacing w:w="15" w:type="dxa"/>
        </w:trPr>
        <w:tc>
          <w:tcPr>
            <w:tcW w:w="0" w:type="auto"/>
            <w:vAlign w:val="center"/>
            <w:hideMark/>
          </w:tcPr>
          <w:p w:rsidR="00E27509" w:rsidRPr="00E27509" w:rsidRDefault="00E27509" w:rsidP="00E27509">
            <w:pPr>
              <w:widowControl w:val="0"/>
              <w:numPr>
                <w:ilvl w:val="0"/>
                <w:numId w:val="3"/>
              </w:numPr>
              <w:overflowPunct w:val="0"/>
              <w:autoSpaceDE w:val="0"/>
              <w:autoSpaceDN w:val="0"/>
              <w:adjustRightInd w:val="0"/>
              <w:spacing w:line="259" w:lineRule="auto"/>
              <w:contextualSpacing/>
              <w:jc w:val="both"/>
              <w:rPr>
                <w:rFonts w:asciiTheme="minorHAnsi" w:hAnsiTheme="minorHAnsi" w:cstheme="minorHAnsi"/>
                <w:b/>
                <w:bCs/>
                <w:sz w:val="22"/>
                <w:szCs w:val="22"/>
                <w:lang w:eastAsia="en-US"/>
              </w:rPr>
            </w:pPr>
          </w:p>
        </w:tc>
        <w:tc>
          <w:tcPr>
            <w:tcW w:w="0" w:type="auto"/>
            <w:vAlign w:val="center"/>
            <w:hideMark/>
          </w:tcPr>
          <w:p w:rsidR="00E27509" w:rsidRPr="00E27509" w:rsidRDefault="00E27509" w:rsidP="00AD1DEB">
            <w:pPr>
              <w:widowControl w:val="0"/>
              <w:numPr>
                <w:ilvl w:val="0"/>
                <w:numId w:val="5"/>
              </w:numPr>
              <w:overflowPunct w:val="0"/>
              <w:autoSpaceDE w:val="0"/>
              <w:autoSpaceDN w:val="0"/>
              <w:adjustRightInd w:val="0"/>
              <w:spacing w:line="259" w:lineRule="auto"/>
              <w:ind w:left="1020" w:hanging="425"/>
              <w:contextualSpacing/>
              <w:jc w:val="both"/>
              <w:rPr>
                <w:rFonts w:asciiTheme="minorHAnsi" w:hAnsiTheme="minorHAnsi" w:cstheme="minorHAnsi"/>
                <w:bCs/>
                <w:sz w:val="22"/>
                <w:szCs w:val="22"/>
                <w:lang w:eastAsia="en-US"/>
              </w:rPr>
            </w:pPr>
            <w:r w:rsidRPr="00E27509">
              <w:rPr>
                <w:rFonts w:asciiTheme="minorHAnsi" w:hAnsiTheme="minorHAnsi" w:cstheme="minorHAnsi"/>
                <w:bCs/>
                <w:sz w:val="22"/>
                <w:szCs w:val="22"/>
                <w:lang w:eastAsia="en-US"/>
              </w:rPr>
              <w:t>prowadzonych promocji przez Sprzedającego, w przypadku gdy cena promocyjna jest niższa niż cena wynikająca z umowy,</w:t>
            </w:r>
          </w:p>
          <w:p w:rsidR="00E27509" w:rsidRPr="00E27509" w:rsidRDefault="00E27509" w:rsidP="00AD1DEB">
            <w:pPr>
              <w:widowControl w:val="0"/>
              <w:numPr>
                <w:ilvl w:val="0"/>
                <w:numId w:val="5"/>
              </w:numPr>
              <w:overflowPunct w:val="0"/>
              <w:autoSpaceDE w:val="0"/>
              <w:autoSpaceDN w:val="0"/>
              <w:adjustRightInd w:val="0"/>
              <w:spacing w:line="259" w:lineRule="auto"/>
              <w:ind w:left="1020" w:hanging="425"/>
              <w:contextualSpacing/>
              <w:jc w:val="both"/>
              <w:rPr>
                <w:rFonts w:asciiTheme="minorHAnsi" w:hAnsiTheme="minorHAnsi" w:cstheme="minorHAnsi"/>
                <w:bCs/>
                <w:sz w:val="22"/>
                <w:szCs w:val="22"/>
                <w:lang w:eastAsia="en-US"/>
              </w:rPr>
            </w:pPr>
            <w:r w:rsidRPr="00E27509">
              <w:rPr>
                <w:rFonts w:asciiTheme="minorHAnsi" w:hAnsiTheme="minorHAnsi" w:cstheme="minorHAnsi"/>
                <w:bCs/>
                <w:sz w:val="22"/>
                <w:szCs w:val="22"/>
                <w:lang w:eastAsia="en-US"/>
              </w:rPr>
              <w:t>obniżenia cen przedmiotu umowy,</w:t>
            </w:r>
          </w:p>
        </w:tc>
      </w:tr>
    </w:tbl>
    <w:p w:rsidR="00E27509" w:rsidRPr="00E27509" w:rsidRDefault="00E27509" w:rsidP="004C226F">
      <w:pPr>
        <w:numPr>
          <w:ilvl w:val="0"/>
          <w:numId w:val="4"/>
        </w:numPr>
        <w:spacing w:line="259" w:lineRule="auto"/>
        <w:ind w:left="284" w:hanging="284"/>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Zmiany wysokości wynagrodzenia,</w:t>
      </w:r>
      <w:r w:rsidRPr="00E27509">
        <w:rPr>
          <w:rFonts w:asciiTheme="minorHAnsi" w:eastAsiaTheme="minorHAnsi" w:hAnsiTheme="minorHAnsi" w:cstheme="minorHAnsi"/>
          <w:sz w:val="22"/>
          <w:szCs w:val="22"/>
          <w:lang w:eastAsia="ar-SA"/>
        </w:rPr>
        <w:t xml:space="preserve"> </w:t>
      </w:r>
      <w:r w:rsidRPr="00E27509">
        <w:rPr>
          <w:rFonts w:asciiTheme="minorHAnsi" w:eastAsiaTheme="minorHAnsi" w:hAnsiTheme="minorHAnsi" w:cstheme="minorHAnsi"/>
          <w:sz w:val="22"/>
          <w:szCs w:val="22"/>
          <w:lang w:eastAsia="en-US"/>
        </w:rPr>
        <w:t>o których mowa w ust. 1 obowiązywać będą od daty określonej w aneksie do niniejszej umowy.</w:t>
      </w:r>
    </w:p>
    <w:p w:rsidR="00E27509" w:rsidRPr="00E27509" w:rsidRDefault="00E27509" w:rsidP="004C226F">
      <w:pPr>
        <w:numPr>
          <w:ilvl w:val="0"/>
          <w:numId w:val="4"/>
        </w:numPr>
        <w:spacing w:line="259" w:lineRule="auto"/>
        <w:ind w:left="284" w:hanging="284"/>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W przypadku zmiany, o której mowa w ust. 1 lit. a) wartość netto wynagrodzenia Sprzedającego nie zmieni się, a określona w aneksie wartość brutto wynagrodzenia zostanie wyliczona na podstawie nowych przepisów. </w:t>
      </w:r>
    </w:p>
    <w:p w:rsidR="00E27509" w:rsidRPr="00E27509" w:rsidRDefault="00E27509" w:rsidP="004C226F">
      <w:pPr>
        <w:numPr>
          <w:ilvl w:val="0"/>
          <w:numId w:val="4"/>
        </w:numPr>
        <w:spacing w:line="259" w:lineRule="auto"/>
        <w:ind w:left="284" w:hanging="284"/>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E27509" w:rsidRPr="00E27509" w:rsidRDefault="00E27509" w:rsidP="004C226F">
      <w:pPr>
        <w:numPr>
          <w:ilvl w:val="0"/>
          <w:numId w:val="4"/>
        </w:numPr>
        <w:spacing w:line="259" w:lineRule="auto"/>
        <w:ind w:left="284" w:hanging="284"/>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E27509" w:rsidRPr="00E27509" w:rsidRDefault="00E27509" w:rsidP="004C226F">
      <w:pPr>
        <w:numPr>
          <w:ilvl w:val="0"/>
          <w:numId w:val="4"/>
        </w:numPr>
        <w:spacing w:line="259" w:lineRule="auto"/>
        <w:ind w:left="284" w:hanging="284"/>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lastRenderedPageBreak/>
        <w:t>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w:t>
      </w:r>
    </w:p>
    <w:p w:rsidR="00E27509" w:rsidRPr="00E27509" w:rsidRDefault="00E27509" w:rsidP="004C226F">
      <w:pPr>
        <w:numPr>
          <w:ilvl w:val="0"/>
          <w:numId w:val="4"/>
        </w:numPr>
        <w:spacing w:line="259" w:lineRule="auto"/>
        <w:ind w:left="284" w:hanging="284"/>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W przypadku wskazanym w ust. 1 lit. e) wartość netto wynagrodzenia Sprzedającego nie zmieni się, a określona w aneksie wartość brutto wynagrodzenia zostanie wyliczona na podstawie nowych przepisów. </w:t>
      </w:r>
    </w:p>
    <w:p w:rsidR="00E27509" w:rsidRPr="00E27509" w:rsidRDefault="00E27509" w:rsidP="004C226F">
      <w:pPr>
        <w:numPr>
          <w:ilvl w:val="0"/>
          <w:numId w:val="4"/>
        </w:numPr>
        <w:spacing w:line="259" w:lineRule="auto"/>
        <w:ind w:left="284" w:hanging="284"/>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W przypadku wskazanym w ust. 1 lit. f) wynagrodzenie Sprzedającego ulegnie zmianie o wartość ustaloną w drodze negocjacji, nie więcej niż o łączny wzrost całkowitego kosztu Sprzedającego wynikający z dokumentu wystawionego przez producenta (oświadczenie lub faktura).</w:t>
      </w:r>
    </w:p>
    <w:p w:rsidR="00E27509" w:rsidRPr="00E27509" w:rsidRDefault="00E27509" w:rsidP="004C226F">
      <w:pPr>
        <w:numPr>
          <w:ilvl w:val="0"/>
          <w:numId w:val="4"/>
        </w:numPr>
        <w:spacing w:line="259" w:lineRule="auto"/>
        <w:ind w:left="284" w:hanging="284"/>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W przypadku wskazanym w ust. 1 lit. g) zmiana wynagrodzenia może być wprowadzona na podstawie poniższych zasad:</w:t>
      </w:r>
    </w:p>
    <w:p w:rsidR="00E27509" w:rsidRPr="00E27509" w:rsidRDefault="00E27509" w:rsidP="00E27509">
      <w:pPr>
        <w:ind w:left="709" w:hanging="283"/>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a) pierwsza waloryzacja możliwa jest po 6 miesiącach od daty zawarcia umowy,  a kolejna po upływie 6 miesięcy od poprzedniej waloryzacji,</w:t>
      </w:r>
    </w:p>
    <w:p w:rsidR="00E27509" w:rsidRPr="00E27509" w:rsidRDefault="00E27509" w:rsidP="00E27509">
      <w:pPr>
        <w:ind w:left="709" w:hanging="283"/>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b)</w:t>
      </w:r>
      <w:r w:rsidRPr="00E27509">
        <w:rPr>
          <w:rFonts w:asciiTheme="minorHAnsi" w:eastAsiaTheme="minorHAnsi" w:hAnsiTheme="minorHAnsi" w:cstheme="minorHAnsi"/>
          <w:sz w:val="22"/>
          <w:szCs w:val="22"/>
          <w:lang w:eastAsia="en-US"/>
        </w:rPr>
        <w:tab/>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E27509" w:rsidRPr="00E27509" w:rsidRDefault="00E27509" w:rsidP="00E27509">
      <w:pPr>
        <w:ind w:left="709" w:hanging="283"/>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c)</w:t>
      </w:r>
      <w:r w:rsidRPr="00E27509">
        <w:rPr>
          <w:rFonts w:asciiTheme="minorHAnsi" w:eastAsiaTheme="minorHAnsi" w:hAnsiTheme="minorHAnsi" w:cstheme="minorHAnsi"/>
          <w:sz w:val="22"/>
          <w:szCs w:val="22"/>
          <w:lang w:eastAsia="en-US"/>
        </w:rPr>
        <w:tab/>
        <w:t>dla uniknięcia wątpliwości Strony postanawiają, że waloryzacja będzie następować również w razie wystąpienia spadku cen do zastosowania ujemnego wskaźnika tj. „deflacji”.</w:t>
      </w:r>
    </w:p>
    <w:p w:rsidR="00E27509" w:rsidRPr="00E27509" w:rsidRDefault="00E27509" w:rsidP="004C226F">
      <w:pPr>
        <w:numPr>
          <w:ilvl w:val="0"/>
          <w:numId w:val="4"/>
        </w:numPr>
        <w:spacing w:line="259" w:lineRule="auto"/>
        <w:ind w:left="426" w:hanging="426"/>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Zmiany wysokości wynagrodzenia mogą mieć miejsce jedynie wówczas, gdy zmiany te będą miały wpływ na koszty wykonania umowy przez Sprzedającego. Sprzedający zobowiązany jest do wykazania wpływu wskazanych zmian na koszty wykonania umowy.</w:t>
      </w:r>
    </w:p>
    <w:p w:rsidR="00E27509" w:rsidRPr="00E27509" w:rsidRDefault="00E27509" w:rsidP="004C226F">
      <w:pPr>
        <w:numPr>
          <w:ilvl w:val="0"/>
          <w:numId w:val="4"/>
        </w:numPr>
        <w:spacing w:line="259" w:lineRule="auto"/>
        <w:ind w:left="426" w:hanging="426"/>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Kupujący dopuszcza zmianę wartości umowy w przypadku zmiany cen materiałów lub kosztów związanych z realizacją umowy. </w:t>
      </w:r>
    </w:p>
    <w:p w:rsidR="00E27509" w:rsidRPr="00E27509" w:rsidRDefault="00E27509" w:rsidP="004C226F">
      <w:pPr>
        <w:numPr>
          <w:ilvl w:val="0"/>
          <w:numId w:val="4"/>
        </w:numPr>
        <w:spacing w:line="259" w:lineRule="auto"/>
        <w:ind w:left="426" w:hanging="426"/>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Poziom zmiany ceny materiałów lub kosztów związanych z realizacją umowy uprawniający Strony umowy do żądania zmiany wynagrodzenia ustala się na poziomie 20 %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20 %. </w:t>
      </w:r>
    </w:p>
    <w:p w:rsidR="00E27509" w:rsidRPr="00E27509" w:rsidRDefault="00E27509" w:rsidP="004C226F">
      <w:pPr>
        <w:numPr>
          <w:ilvl w:val="0"/>
          <w:numId w:val="4"/>
        </w:numPr>
        <w:spacing w:line="259" w:lineRule="auto"/>
        <w:ind w:left="426" w:hanging="426"/>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W przypadku zaistnienia przesłanki będącej podstawą zmiany wynagrodzenia o której mowa w ust. 12,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E27509" w:rsidRPr="00E27509" w:rsidRDefault="00E27509" w:rsidP="004C226F">
      <w:pPr>
        <w:numPr>
          <w:ilvl w:val="0"/>
          <w:numId w:val="4"/>
        </w:numPr>
        <w:spacing w:line="259" w:lineRule="auto"/>
        <w:ind w:left="426" w:hanging="426"/>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w:t>
      </w:r>
    </w:p>
    <w:p w:rsidR="00E27509" w:rsidRPr="00E27509" w:rsidRDefault="00E27509" w:rsidP="004C226F">
      <w:pPr>
        <w:ind w:left="425" w:hanging="425"/>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 xml:space="preserve">15.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 wysokości 0,1 % łącznej wartości netto umowy za każdy rozpoczęty dzień zwłoki. </w:t>
      </w:r>
    </w:p>
    <w:p w:rsidR="00E27509" w:rsidRPr="00E27509" w:rsidRDefault="00E27509" w:rsidP="00E27509">
      <w:pPr>
        <w:ind w:left="425" w:hanging="425"/>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16.  Strony umowy dopuszczają zmiany cen jednostkowych przedmiotu sprzedaży w przypadku zmiany wielkości opakowania wprowadzonej przez producenta z zachowaniem zasady proporcjonalności w stosunku do ceny objętej umową.</w:t>
      </w:r>
    </w:p>
    <w:p w:rsidR="00E27509" w:rsidRPr="00E27509" w:rsidRDefault="00E27509" w:rsidP="00E27509">
      <w:pPr>
        <w:tabs>
          <w:tab w:val="left" w:pos="284"/>
        </w:tabs>
        <w:ind w:left="425" w:hanging="425"/>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t>17.  Strony umowy dopuszczają zmiany cen produktów leczniczych nabywanych na    podstawie decyzji refundacyjnych – obwieszczenie Ministra Zdrowia.</w:t>
      </w:r>
    </w:p>
    <w:p w:rsidR="005D54C1" w:rsidRPr="004C226F" w:rsidRDefault="00E27509" w:rsidP="004C226F">
      <w:pPr>
        <w:tabs>
          <w:tab w:val="left" w:pos="284"/>
        </w:tabs>
        <w:ind w:left="425" w:hanging="425"/>
        <w:jc w:val="both"/>
        <w:rPr>
          <w:rFonts w:asciiTheme="minorHAnsi" w:eastAsiaTheme="minorHAnsi" w:hAnsiTheme="minorHAnsi" w:cstheme="minorHAnsi"/>
          <w:sz w:val="22"/>
          <w:szCs w:val="22"/>
          <w:lang w:eastAsia="en-US"/>
        </w:rPr>
      </w:pPr>
      <w:r w:rsidRPr="00E27509">
        <w:rPr>
          <w:rFonts w:asciiTheme="minorHAnsi" w:eastAsiaTheme="minorHAnsi" w:hAnsiTheme="minorHAnsi" w:cstheme="minorHAnsi"/>
          <w:sz w:val="22"/>
          <w:szCs w:val="22"/>
          <w:lang w:eastAsia="en-US"/>
        </w:rPr>
        <w:lastRenderedPageBreak/>
        <w:t xml:space="preserve">        Korekta cen w przypadku zmian limitów lub obniżenia cen urzędowych nie ma zastosowania jeżeli w ramach niniejszej umowy towar oferowany jest po niższej cenie. </w:t>
      </w:r>
    </w:p>
    <w:p w:rsidR="005D54C1" w:rsidRPr="005D54C1" w:rsidRDefault="005D54C1" w:rsidP="005D54C1">
      <w:pPr>
        <w:ind w:firstLine="708"/>
        <w:jc w:val="both"/>
        <w:rPr>
          <w:rFonts w:asciiTheme="minorHAnsi" w:hAnsiTheme="minorHAnsi" w:cstheme="minorHAnsi"/>
          <w:sz w:val="22"/>
          <w:szCs w:val="22"/>
          <w:lang w:eastAsia="en-US"/>
        </w:rPr>
      </w:pPr>
    </w:p>
    <w:p w:rsidR="00B87D4A" w:rsidRPr="00B87D4A" w:rsidRDefault="00B87D4A" w:rsidP="00B87D4A">
      <w:pPr>
        <w:jc w:val="both"/>
        <w:rPr>
          <w:rFonts w:asciiTheme="minorHAnsi" w:hAnsiTheme="minorHAnsi" w:cstheme="minorHAnsi"/>
          <w:b/>
          <w:sz w:val="22"/>
          <w:szCs w:val="22"/>
        </w:rPr>
      </w:pPr>
      <w:r w:rsidRPr="00B87D4A">
        <w:rPr>
          <w:rFonts w:asciiTheme="minorHAnsi" w:hAnsiTheme="minorHAnsi" w:cstheme="minorHAnsi"/>
          <w:b/>
          <w:sz w:val="22"/>
          <w:szCs w:val="22"/>
        </w:rPr>
        <w:t>Pytanie 9</w:t>
      </w:r>
    </w:p>
    <w:p w:rsidR="005D54C1" w:rsidRPr="005D54C1" w:rsidRDefault="005D54C1" w:rsidP="00B87D4A">
      <w:pPr>
        <w:jc w:val="both"/>
        <w:rPr>
          <w:rFonts w:asciiTheme="minorHAnsi" w:hAnsiTheme="minorHAnsi" w:cstheme="minorHAnsi"/>
          <w:sz w:val="22"/>
          <w:szCs w:val="22"/>
          <w:lang w:eastAsia="en-US"/>
        </w:rPr>
      </w:pPr>
      <w:r w:rsidRPr="005D54C1">
        <w:rPr>
          <w:rFonts w:asciiTheme="minorHAnsi" w:hAnsiTheme="minorHAnsi" w:cstheme="minorHAnsi"/>
          <w:sz w:val="22"/>
          <w:szCs w:val="22"/>
        </w:rPr>
        <w:t>Dotyczy SWZ, Rozdz. V, pkt. 18 - Zwracamy się z prośbą do Zamawiającego o odstąpienie w Pakiecie 6 od wymogu przesyłania pliku elektronicznego faktury w formacie umożliwiającym bezpośredni import informacji z pliku do systemu zamawiającego, tj. Asseco AMMS (format FAK lub KT0, KT1) - nie jesteśmy hurtownią farmaceutyczną i nie posiadamy w/w programów. W Pakiecie 6 wymagane są wyroby medyczne, na obrót którymi nie jest wymagane posiadanie koncesji.</w:t>
      </w:r>
    </w:p>
    <w:p w:rsidR="003D57CD" w:rsidRPr="00612BD0" w:rsidRDefault="000C3DB3" w:rsidP="00612BD0">
      <w:pPr>
        <w:jc w:val="both"/>
        <w:rPr>
          <w:rFonts w:asciiTheme="minorHAnsi" w:hAnsiTheme="minorHAnsi" w:cstheme="minorHAnsi"/>
          <w:b/>
          <w:sz w:val="22"/>
          <w:szCs w:val="22"/>
          <w:lang w:eastAsia="en-US"/>
        </w:rPr>
      </w:pPr>
      <w:r w:rsidRPr="000C3DB3">
        <w:rPr>
          <w:rFonts w:asciiTheme="minorHAnsi" w:hAnsiTheme="minorHAnsi" w:cstheme="minorHAnsi"/>
          <w:b/>
          <w:sz w:val="22"/>
          <w:szCs w:val="22"/>
          <w:lang w:eastAsia="en-US"/>
        </w:rPr>
        <w:t>Odpowiedź:</w:t>
      </w:r>
    </w:p>
    <w:p w:rsidR="00612BD0" w:rsidRPr="00612BD0" w:rsidRDefault="00612BD0" w:rsidP="00612BD0">
      <w:pPr>
        <w:widowControl w:val="0"/>
        <w:suppressAutoHyphens/>
        <w:jc w:val="both"/>
        <w:rPr>
          <w:rFonts w:asciiTheme="minorHAnsi" w:eastAsia="SimSun" w:hAnsiTheme="minorHAnsi" w:cstheme="minorHAnsi"/>
          <w:color w:val="000000" w:themeColor="text1"/>
          <w:kern w:val="1"/>
          <w:sz w:val="22"/>
          <w:szCs w:val="22"/>
          <w:lang w:eastAsia="hi-IN" w:bidi="hi-IN"/>
        </w:rPr>
      </w:pPr>
      <w:r w:rsidRPr="00612BD0">
        <w:rPr>
          <w:rFonts w:asciiTheme="minorHAnsi" w:eastAsia="SimSun" w:hAnsiTheme="minorHAnsi" w:cstheme="minorHAnsi"/>
          <w:color w:val="000000" w:themeColor="text1"/>
          <w:kern w:val="1"/>
          <w:sz w:val="22"/>
          <w:szCs w:val="22"/>
          <w:lang w:eastAsia="hi-IN" w:bidi="hi-IN"/>
        </w:rPr>
        <w:t>W odniesieniu do pakietu 6 zamawiający odstępuje od wymogu przesyłania pliku elektronicznego faktury w formacie FAK lub KT0/KT.</w:t>
      </w:r>
    </w:p>
    <w:p w:rsidR="00612BD0" w:rsidRPr="00612BD0" w:rsidRDefault="00612BD0" w:rsidP="00612BD0">
      <w:pPr>
        <w:widowControl w:val="0"/>
        <w:suppressAutoHyphens/>
        <w:jc w:val="both"/>
        <w:rPr>
          <w:rFonts w:asciiTheme="minorHAnsi" w:eastAsia="SimSun" w:hAnsiTheme="minorHAnsi" w:cstheme="minorHAnsi"/>
          <w:color w:val="000000" w:themeColor="text1"/>
          <w:kern w:val="1"/>
          <w:sz w:val="22"/>
          <w:szCs w:val="22"/>
          <w:lang w:eastAsia="hi-IN" w:bidi="hi-IN"/>
        </w:rPr>
      </w:pPr>
      <w:r w:rsidRPr="00612BD0">
        <w:rPr>
          <w:rFonts w:asciiTheme="minorHAnsi" w:eastAsia="SimSun" w:hAnsiTheme="minorHAnsi" w:cstheme="minorHAnsi"/>
          <w:color w:val="000000" w:themeColor="text1"/>
          <w:kern w:val="1"/>
          <w:sz w:val="22"/>
          <w:szCs w:val="22"/>
          <w:lang w:eastAsia="hi-IN" w:bidi="hi-IN"/>
        </w:rPr>
        <w:t>Zamawiający zwraca się jednak z prośbą do wszystkich dostawców wyrobów medycznych o pilne dostosowanie systemów WMS/ERP do dostarczania specyfikacji faktur w takim formacie lub skorzystania z konwerterów plików do tych formatów. W związku z wymogami Ustawy o wyrobach medycznych i koniecznością prowadzenia ścisłej ewidencji wyrobów medycznych, Zamawiający nie będzie w przyszłości akceptował odstępstw od tego wymogu.</w:t>
      </w:r>
    </w:p>
    <w:p w:rsidR="003D57CD" w:rsidRPr="00564AC2" w:rsidRDefault="003D57CD" w:rsidP="003D57CD">
      <w:pPr>
        <w:rPr>
          <w:rFonts w:asciiTheme="minorHAnsi" w:hAnsiTheme="minorHAnsi" w:cstheme="minorHAnsi"/>
          <w:b/>
          <w:color w:val="000000" w:themeColor="text1"/>
          <w:sz w:val="22"/>
          <w:szCs w:val="22"/>
          <w:lang w:eastAsia="en-US"/>
        </w:rPr>
      </w:pPr>
    </w:p>
    <w:p w:rsidR="000C3DB3" w:rsidRDefault="000C3DB3" w:rsidP="003D57CD">
      <w:pPr>
        <w:rPr>
          <w:rFonts w:asciiTheme="minorHAnsi" w:hAnsiTheme="minorHAnsi" w:cstheme="minorHAnsi"/>
          <w:b/>
          <w:bCs/>
          <w:sz w:val="22"/>
          <w:szCs w:val="22"/>
          <w:lang w:eastAsia="en-US"/>
        </w:rPr>
      </w:pPr>
    </w:p>
    <w:p w:rsidR="000C3DB3" w:rsidRDefault="000C3DB3" w:rsidP="003D57CD">
      <w:pPr>
        <w:rPr>
          <w:rFonts w:asciiTheme="minorHAnsi" w:hAnsiTheme="minorHAnsi" w:cstheme="minorHAnsi"/>
          <w:b/>
          <w:bCs/>
          <w:sz w:val="22"/>
          <w:szCs w:val="22"/>
          <w:lang w:eastAsia="en-US"/>
        </w:rPr>
      </w:pPr>
    </w:p>
    <w:p w:rsidR="003D57CD" w:rsidRPr="003D57CD" w:rsidRDefault="003D57CD" w:rsidP="003D57CD">
      <w:pPr>
        <w:ind w:left="284" w:hanging="284"/>
        <w:rPr>
          <w:rFonts w:asciiTheme="minorHAnsi" w:hAnsiTheme="minorHAnsi" w:cstheme="minorHAnsi"/>
          <w:b/>
          <w:bCs/>
          <w:sz w:val="22"/>
          <w:szCs w:val="22"/>
          <w:lang w:eastAsia="en-US"/>
        </w:rPr>
      </w:pPr>
      <w:bookmarkStart w:id="3" w:name="_Hlk214351391"/>
      <w:bookmarkStart w:id="4" w:name="_Hlk214877260"/>
    </w:p>
    <w:bookmarkEnd w:id="3"/>
    <w:p w:rsidR="003D57CD" w:rsidRPr="003D57CD" w:rsidRDefault="003D57CD" w:rsidP="003D57CD">
      <w:pPr>
        <w:ind w:left="284" w:hanging="284"/>
        <w:rPr>
          <w:rFonts w:asciiTheme="minorHAnsi" w:hAnsiTheme="minorHAnsi" w:cstheme="minorHAnsi"/>
          <w:b/>
          <w:bCs/>
          <w:sz w:val="22"/>
          <w:szCs w:val="22"/>
          <w:lang w:eastAsia="en-US"/>
        </w:rPr>
      </w:pPr>
    </w:p>
    <w:bookmarkEnd w:id="4"/>
    <w:p w:rsidR="00496E9A" w:rsidRDefault="00496E9A" w:rsidP="00496E9A">
      <w:pPr>
        <w:ind w:left="284" w:hanging="284"/>
        <w:rPr>
          <w:rFonts w:asciiTheme="minorHAnsi" w:hAnsiTheme="minorHAnsi" w:cstheme="minorHAnsi"/>
          <w:b/>
          <w:bCs/>
          <w:sz w:val="22"/>
          <w:szCs w:val="22"/>
          <w:lang w:eastAsia="en-US"/>
        </w:rPr>
      </w:pPr>
    </w:p>
    <w:p w:rsidR="00DC48B7" w:rsidRPr="00496E9A" w:rsidRDefault="00DC48B7" w:rsidP="00496E9A">
      <w:pPr>
        <w:ind w:left="284" w:hanging="284"/>
        <w:rPr>
          <w:rFonts w:asciiTheme="minorHAnsi" w:hAnsiTheme="minorHAnsi" w:cstheme="minorHAnsi"/>
          <w:b/>
          <w:bCs/>
          <w:sz w:val="22"/>
          <w:szCs w:val="22"/>
          <w:lang w:eastAsia="en-US"/>
        </w:rPr>
      </w:pPr>
    </w:p>
    <w:p w:rsidR="00496E9A" w:rsidRPr="00496E9A" w:rsidRDefault="00496E9A" w:rsidP="00564AC2">
      <w:pPr>
        <w:rPr>
          <w:rFonts w:asciiTheme="minorHAnsi" w:hAnsiTheme="minorHAnsi" w:cstheme="minorHAnsi"/>
          <w:sz w:val="22"/>
          <w:szCs w:val="22"/>
          <w:lang w:eastAsia="en-US"/>
        </w:rPr>
      </w:pPr>
      <w:r w:rsidRPr="00496E9A">
        <w:rPr>
          <w:rFonts w:asciiTheme="minorHAnsi" w:hAnsiTheme="minorHAnsi" w:cstheme="minorHAnsi"/>
          <w:sz w:val="22"/>
          <w:szCs w:val="22"/>
          <w:lang w:eastAsia="en-US"/>
        </w:rPr>
        <w:t>Zmiana wprowadzona w Specyfikacji Warunków Zamówienia jest wi</w:t>
      </w:r>
      <w:r w:rsidRPr="00496E9A">
        <w:rPr>
          <w:rFonts w:asciiTheme="minorHAnsi" w:hAnsiTheme="minorHAnsi" w:cstheme="minorHAnsi"/>
          <w:bCs/>
          <w:sz w:val="22"/>
          <w:szCs w:val="22"/>
          <w:lang w:eastAsia="en-US"/>
        </w:rPr>
        <w:t>ążąca dla wszystkich wykonawców biorących udział w przedmiotowym postępowaniu</w:t>
      </w:r>
      <w:r w:rsidR="00AE62A0">
        <w:rPr>
          <w:rFonts w:asciiTheme="minorHAnsi" w:hAnsiTheme="minorHAnsi" w:cstheme="minorHAnsi"/>
          <w:bCs/>
          <w:sz w:val="22"/>
          <w:szCs w:val="22"/>
          <w:lang w:eastAsia="en-US"/>
        </w:rPr>
        <w:t>.</w:t>
      </w:r>
    </w:p>
    <w:p w:rsidR="00DC48B7" w:rsidRDefault="00DC48B7" w:rsidP="0009471C">
      <w:pPr>
        <w:tabs>
          <w:tab w:val="left" w:pos="9072"/>
        </w:tabs>
        <w:jc w:val="both"/>
        <w:rPr>
          <w:rFonts w:asciiTheme="minorHAnsi" w:hAnsiTheme="minorHAnsi" w:cstheme="minorHAnsi"/>
          <w:sz w:val="22"/>
          <w:szCs w:val="22"/>
          <w:lang w:eastAsia="en-US"/>
        </w:rPr>
      </w:pPr>
    </w:p>
    <w:p w:rsidR="003D57CD" w:rsidRDefault="003D57CD" w:rsidP="0009471C">
      <w:pPr>
        <w:tabs>
          <w:tab w:val="left" w:pos="9072"/>
        </w:tabs>
        <w:jc w:val="both"/>
        <w:rPr>
          <w:rFonts w:asciiTheme="minorHAnsi" w:hAnsiTheme="minorHAnsi" w:cstheme="minorHAnsi"/>
          <w:sz w:val="20"/>
          <w:szCs w:val="20"/>
        </w:rPr>
      </w:pPr>
    </w:p>
    <w:p w:rsidR="00316639" w:rsidRPr="00564AC2" w:rsidRDefault="00316639" w:rsidP="00564AC2">
      <w:pPr>
        <w:jc w:val="both"/>
        <w:rPr>
          <w:rFonts w:ascii="Candara" w:hAnsi="Candara" w:cs="Tahoma"/>
          <w:b/>
          <w:color w:val="002060"/>
          <w:sz w:val="18"/>
          <w:szCs w:val="18"/>
        </w:rPr>
      </w:pPr>
    </w:p>
    <w:sectPr w:rsidR="00316639" w:rsidRPr="00564AC2" w:rsidSect="00316899">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845EF"/>
    <w:multiLevelType w:val="hybridMultilevel"/>
    <w:tmpl w:val="354AE2A6"/>
    <w:lvl w:ilvl="0" w:tplc="262E1976">
      <w:start w:val="8"/>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634780"/>
    <w:multiLevelType w:val="hybridMultilevel"/>
    <w:tmpl w:val="D592BE30"/>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47446CB"/>
    <w:multiLevelType w:val="hybridMultilevel"/>
    <w:tmpl w:val="23781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8D4338E"/>
    <w:multiLevelType w:val="hybridMultilevel"/>
    <w:tmpl w:val="B3125C4A"/>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 w15:restartNumberingAfterBreak="0">
    <w:nsid w:val="798242D6"/>
    <w:multiLevelType w:val="hybridMultilevel"/>
    <w:tmpl w:val="487648D6"/>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1C"/>
    <w:rsid w:val="00005537"/>
    <w:rsid w:val="00077798"/>
    <w:rsid w:val="0009471C"/>
    <w:rsid w:val="000A090C"/>
    <w:rsid w:val="000B47A0"/>
    <w:rsid w:val="000C3DB3"/>
    <w:rsid w:val="00134707"/>
    <w:rsid w:val="00181818"/>
    <w:rsid w:val="002112AE"/>
    <w:rsid w:val="002B1209"/>
    <w:rsid w:val="00310187"/>
    <w:rsid w:val="00316639"/>
    <w:rsid w:val="00316899"/>
    <w:rsid w:val="0033379D"/>
    <w:rsid w:val="003549A2"/>
    <w:rsid w:val="003764C5"/>
    <w:rsid w:val="003D57CD"/>
    <w:rsid w:val="00412F29"/>
    <w:rsid w:val="00427108"/>
    <w:rsid w:val="00472A7F"/>
    <w:rsid w:val="00494799"/>
    <w:rsid w:val="00496E9A"/>
    <w:rsid w:val="004C226F"/>
    <w:rsid w:val="00501B8F"/>
    <w:rsid w:val="00564AC2"/>
    <w:rsid w:val="00566494"/>
    <w:rsid w:val="005D54C1"/>
    <w:rsid w:val="0060364E"/>
    <w:rsid w:val="00612BD0"/>
    <w:rsid w:val="00644C62"/>
    <w:rsid w:val="00662FEC"/>
    <w:rsid w:val="006F2901"/>
    <w:rsid w:val="00774603"/>
    <w:rsid w:val="00786A50"/>
    <w:rsid w:val="00793BE5"/>
    <w:rsid w:val="00793DD1"/>
    <w:rsid w:val="007B2B4D"/>
    <w:rsid w:val="007B2DA3"/>
    <w:rsid w:val="007E06C1"/>
    <w:rsid w:val="008B3B78"/>
    <w:rsid w:val="00920540"/>
    <w:rsid w:val="0095372E"/>
    <w:rsid w:val="009B427C"/>
    <w:rsid w:val="009D6F5C"/>
    <w:rsid w:val="00A254CB"/>
    <w:rsid w:val="00A3417A"/>
    <w:rsid w:val="00A56E52"/>
    <w:rsid w:val="00AD1DEB"/>
    <w:rsid w:val="00AE599F"/>
    <w:rsid w:val="00AE62A0"/>
    <w:rsid w:val="00AF0691"/>
    <w:rsid w:val="00B1736D"/>
    <w:rsid w:val="00B87D4A"/>
    <w:rsid w:val="00BA4894"/>
    <w:rsid w:val="00C15F3E"/>
    <w:rsid w:val="00C23181"/>
    <w:rsid w:val="00C26A0D"/>
    <w:rsid w:val="00C72F13"/>
    <w:rsid w:val="00C82797"/>
    <w:rsid w:val="00D274B7"/>
    <w:rsid w:val="00D40CBF"/>
    <w:rsid w:val="00D462FE"/>
    <w:rsid w:val="00D907D9"/>
    <w:rsid w:val="00DA43B5"/>
    <w:rsid w:val="00DC48B7"/>
    <w:rsid w:val="00DE117E"/>
    <w:rsid w:val="00E27509"/>
    <w:rsid w:val="00E74DD8"/>
    <w:rsid w:val="00F05C1E"/>
    <w:rsid w:val="00F304E2"/>
    <w:rsid w:val="00F84B83"/>
    <w:rsid w:val="00FC2209"/>
    <w:rsid w:val="00FC26AD"/>
    <w:rsid w:val="00FE5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C59"/>
  <w15:docId w15:val="{3E6CF028-ECDC-4E58-BA69-074A30A6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9471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9471C"/>
  </w:style>
  <w:style w:type="character" w:styleId="Hipercze">
    <w:name w:val="Hyperlink"/>
    <w:basedOn w:val="Domylnaczcionkaakapitu"/>
    <w:rsid w:val="0009471C"/>
    <w:rPr>
      <w:color w:val="0563C1"/>
      <w:u w:val="single"/>
    </w:rPr>
  </w:style>
  <w:style w:type="character" w:styleId="UyteHipercze">
    <w:name w:val="FollowedHyperlink"/>
    <w:basedOn w:val="Domylnaczcionkaakapitu"/>
    <w:rsid w:val="0009471C"/>
    <w:rPr>
      <w:color w:val="954F72"/>
      <w:u w:val="single"/>
    </w:rPr>
  </w:style>
  <w:style w:type="paragraph" w:customStyle="1" w:styleId="msonormal0">
    <w:name w:val="msonormal"/>
    <w:basedOn w:val="Normalny"/>
    <w:rsid w:val="0009471C"/>
    <w:pPr>
      <w:suppressAutoHyphens/>
      <w:autoSpaceDN w:val="0"/>
      <w:spacing w:before="100" w:after="100"/>
      <w:textAlignment w:val="baseline"/>
    </w:pPr>
  </w:style>
  <w:style w:type="paragraph" w:customStyle="1" w:styleId="xl74">
    <w:name w:val="xl74"/>
    <w:basedOn w:val="Normalny"/>
    <w:rsid w:val="0009471C"/>
    <w:pPr>
      <w:suppressAutoHyphens/>
      <w:autoSpaceDN w:val="0"/>
      <w:spacing w:before="100" w:after="100"/>
      <w:textAlignment w:val="center"/>
    </w:pPr>
  </w:style>
  <w:style w:type="paragraph" w:customStyle="1" w:styleId="xl75">
    <w:name w:val="xl75"/>
    <w:basedOn w:val="Normalny"/>
    <w:rsid w:val="0009471C"/>
    <w:pPr>
      <w:suppressAutoHyphens/>
      <w:autoSpaceDN w:val="0"/>
      <w:spacing w:before="100" w:after="100"/>
      <w:jc w:val="center"/>
      <w:textAlignment w:val="center"/>
    </w:pPr>
  </w:style>
  <w:style w:type="paragraph" w:customStyle="1" w:styleId="xl76">
    <w:name w:val="xl76"/>
    <w:basedOn w:val="Normalny"/>
    <w:rsid w:val="0009471C"/>
    <w:pPr>
      <w:pBdr>
        <w:top w:val="single" w:sz="8" w:space="0" w:color="000000"/>
        <w:left w:val="single" w:sz="8" w:space="0" w:color="000000"/>
        <w:bottom w:val="single" w:sz="8" w:space="0" w:color="000000"/>
        <w:right w:val="single" w:sz="8" w:space="0" w:color="000000"/>
      </w:pBdr>
      <w:shd w:val="clear" w:color="auto" w:fill="B4C6E7"/>
      <w:suppressAutoHyphens/>
      <w:autoSpaceDN w:val="0"/>
      <w:spacing w:before="100" w:after="100"/>
      <w:jc w:val="center"/>
      <w:textAlignment w:val="center"/>
    </w:pPr>
  </w:style>
  <w:style w:type="paragraph" w:customStyle="1" w:styleId="xl77">
    <w:name w:val="xl77"/>
    <w:basedOn w:val="Normalny"/>
    <w:rsid w:val="0009471C"/>
    <w:pPr>
      <w:suppressAutoHyphens/>
      <w:autoSpaceDN w:val="0"/>
      <w:spacing w:before="100" w:after="100"/>
      <w:jc w:val="center"/>
      <w:textAlignment w:val="center"/>
    </w:pPr>
  </w:style>
  <w:style w:type="paragraph" w:customStyle="1" w:styleId="xl78">
    <w:name w:val="xl78"/>
    <w:basedOn w:val="Normalny"/>
    <w:rsid w:val="0009471C"/>
    <w:pPr>
      <w:pBdr>
        <w:top w:val="single" w:sz="8" w:space="0" w:color="000000"/>
        <w:left w:val="single" w:sz="8" w:space="0" w:color="000000"/>
        <w:bottom w:val="single" w:sz="8" w:space="0" w:color="000000"/>
        <w:right w:val="single" w:sz="8" w:space="0" w:color="000000"/>
      </w:pBdr>
      <w:shd w:val="clear" w:color="auto" w:fill="B4C6E7"/>
      <w:suppressAutoHyphens/>
      <w:autoSpaceDN w:val="0"/>
      <w:spacing w:before="100" w:after="100"/>
      <w:jc w:val="center"/>
      <w:textAlignment w:val="center"/>
    </w:pPr>
  </w:style>
  <w:style w:type="paragraph" w:customStyle="1" w:styleId="xl79">
    <w:name w:val="xl79"/>
    <w:basedOn w:val="Normalny"/>
    <w:rsid w:val="0009471C"/>
    <w:pPr>
      <w:pBdr>
        <w:top w:val="single" w:sz="8" w:space="0" w:color="000000"/>
        <w:left w:val="single" w:sz="8" w:space="0" w:color="000000"/>
        <w:bottom w:val="single" w:sz="8" w:space="0" w:color="000000"/>
        <w:right w:val="single" w:sz="8" w:space="0" w:color="000000"/>
      </w:pBdr>
      <w:shd w:val="clear" w:color="auto" w:fill="B4C6E7"/>
      <w:suppressAutoHyphens/>
      <w:autoSpaceDN w:val="0"/>
      <w:spacing w:before="100" w:after="100"/>
      <w:jc w:val="center"/>
      <w:textAlignment w:val="center"/>
    </w:pPr>
  </w:style>
  <w:style w:type="paragraph" w:customStyle="1" w:styleId="xl80">
    <w:name w:val="xl80"/>
    <w:basedOn w:val="Normalny"/>
    <w:rsid w:val="0009471C"/>
    <w:pPr>
      <w:shd w:val="clear" w:color="auto" w:fill="FFFFFF"/>
      <w:suppressAutoHyphens/>
      <w:autoSpaceDN w:val="0"/>
      <w:spacing w:before="100" w:after="100"/>
      <w:textAlignment w:val="center"/>
    </w:pPr>
  </w:style>
  <w:style w:type="paragraph" w:customStyle="1" w:styleId="xl81">
    <w:name w:val="xl81"/>
    <w:basedOn w:val="Normalny"/>
    <w:rsid w:val="0009471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center"/>
    </w:pPr>
  </w:style>
  <w:style w:type="paragraph" w:customStyle="1" w:styleId="xl82">
    <w:name w:val="xl82"/>
    <w:basedOn w:val="Normalny"/>
    <w:rsid w:val="0009471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center"/>
    </w:pPr>
    <w:rPr>
      <w:rFonts w:ascii="Calibri" w:hAnsi="Calibri" w:cs="Calibri"/>
    </w:rPr>
  </w:style>
  <w:style w:type="paragraph" w:customStyle="1" w:styleId="xl83">
    <w:name w:val="xl83"/>
    <w:basedOn w:val="Normalny"/>
    <w:rsid w:val="0009471C"/>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rFonts w:ascii="Calibri" w:hAnsi="Calibri" w:cs="Calibri"/>
    </w:rPr>
  </w:style>
  <w:style w:type="paragraph" w:customStyle="1" w:styleId="xl84">
    <w:name w:val="xl84"/>
    <w:basedOn w:val="Normalny"/>
    <w:rsid w:val="0009471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center"/>
    </w:pPr>
  </w:style>
  <w:style w:type="paragraph" w:customStyle="1" w:styleId="xl85">
    <w:name w:val="xl85"/>
    <w:basedOn w:val="Normalny"/>
    <w:rsid w:val="0009471C"/>
    <w:pPr>
      <w:suppressAutoHyphens/>
      <w:autoSpaceDN w:val="0"/>
      <w:spacing w:before="100" w:after="100"/>
      <w:textAlignment w:val="baseline"/>
    </w:pPr>
    <w:rPr>
      <w:rFonts w:ascii="Arial" w:hAnsi="Arial" w:cs="Arial"/>
      <w:color w:val="404041"/>
      <w:sz w:val="20"/>
      <w:szCs w:val="20"/>
    </w:rPr>
  </w:style>
  <w:style w:type="paragraph" w:customStyle="1" w:styleId="xl86">
    <w:name w:val="xl86"/>
    <w:basedOn w:val="Normalny"/>
    <w:rsid w:val="0009471C"/>
    <w:pPr>
      <w:shd w:val="clear" w:color="auto" w:fill="FFFFFF"/>
      <w:suppressAutoHyphens/>
      <w:autoSpaceDN w:val="0"/>
      <w:spacing w:before="100" w:after="100"/>
      <w:textAlignment w:val="baseline"/>
    </w:pPr>
    <w:rPr>
      <w:rFonts w:ascii="Calibri" w:hAnsi="Calibri" w:cs="Calibri"/>
    </w:rPr>
  </w:style>
  <w:style w:type="paragraph" w:customStyle="1" w:styleId="xl87">
    <w:name w:val="xl87"/>
    <w:basedOn w:val="Normalny"/>
    <w:rsid w:val="0009471C"/>
    <w:pPr>
      <w:suppressAutoHyphens/>
      <w:autoSpaceDN w:val="0"/>
      <w:spacing w:before="100" w:after="100"/>
      <w:textAlignment w:val="baseline"/>
    </w:pPr>
    <w:rPr>
      <w:rFonts w:ascii="Calibri" w:hAnsi="Calibri" w:cs="Calibri"/>
    </w:rPr>
  </w:style>
  <w:style w:type="paragraph" w:customStyle="1" w:styleId="xl88">
    <w:name w:val="xl88"/>
    <w:basedOn w:val="Normalny"/>
    <w:rsid w:val="0009471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center"/>
    </w:pPr>
    <w:rPr>
      <w:rFonts w:ascii="Calibri" w:hAnsi="Calibri" w:cs="Calibri"/>
    </w:rPr>
  </w:style>
  <w:style w:type="paragraph" w:customStyle="1" w:styleId="xl89">
    <w:name w:val="xl89"/>
    <w:basedOn w:val="Normalny"/>
    <w:rsid w:val="0009471C"/>
    <w:pPr>
      <w:suppressAutoHyphens/>
      <w:autoSpaceDN w:val="0"/>
      <w:spacing w:before="100" w:after="100"/>
      <w:textAlignment w:val="center"/>
    </w:pPr>
  </w:style>
  <w:style w:type="paragraph" w:customStyle="1" w:styleId="xl90">
    <w:name w:val="xl90"/>
    <w:basedOn w:val="Normalny"/>
    <w:rsid w:val="0009471C"/>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style>
  <w:style w:type="paragraph" w:customStyle="1" w:styleId="xl91">
    <w:name w:val="xl91"/>
    <w:basedOn w:val="Normalny"/>
    <w:rsid w:val="0009471C"/>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style>
  <w:style w:type="paragraph" w:customStyle="1" w:styleId="xl92">
    <w:name w:val="xl92"/>
    <w:basedOn w:val="Normalny"/>
    <w:rsid w:val="0009471C"/>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center"/>
    </w:pPr>
    <w:rPr>
      <w:rFonts w:ascii="Calibri" w:hAnsi="Calibri" w:cs="Calibri"/>
    </w:rPr>
  </w:style>
  <w:style w:type="table" w:styleId="Tabela-Siatka">
    <w:name w:val="Table Grid"/>
    <w:basedOn w:val="Standardowy"/>
    <w:uiPriority w:val="59"/>
    <w:rsid w:val="0031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2F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2F29"/>
    <w:rPr>
      <w:rFonts w:ascii="Segoe UI" w:eastAsia="Times New Roman" w:hAnsi="Segoe UI" w:cs="Segoe UI"/>
      <w:sz w:val="18"/>
      <w:szCs w:val="18"/>
      <w:lang w:eastAsia="pl-PL"/>
    </w:rPr>
  </w:style>
  <w:style w:type="paragraph" w:styleId="Tytu">
    <w:name w:val="Title"/>
    <w:aliases w:val=" Znak"/>
    <w:basedOn w:val="Normalny"/>
    <w:link w:val="TytuZnak"/>
    <w:qFormat/>
    <w:rsid w:val="00496E9A"/>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basedOn w:val="Domylnaczcionkaakapitu"/>
    <w:link w:val="Tytu"/>
    <w:rsid w:val="00496E9A"/>
    <w:rPr>
      <w:rFonts w:ascii="Garamond" w:eastAsia="Times New Roman" w:hAnsi="Garamond" w:cs="Times New Roman"/>
      <w:b/>
      <w:bCs/>
      <w:sz w:val="24"/>
      <w:szCs w:val="24"/>
      <w:lang w:val="x-none" w:eastAsia="x-none"/>
    </w:rPr>
  </w:style>
  <w:style w:type="character" w:styleId="Nierozpoznanawzmianka">
    <w:name w:val="Unresolved Mention"/>
    <w:basedOn w:val="Domylnaczcionkaakapitu"/>
    <w:uiPriority w:val="99"/>
    <w:semiHidden/>
    <w:unhideWhenUsed/>
    <w:rsid w:val="00F84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76193">
      <w:bodyDiv w:val="1"/>
      <w:marLeft w:val="0"/>
      <w:marRight w:val="0"/>
      <w:marTop w:val="0"/>
      <w:marBottom w:val="0"/>
      <w:divBdr>
        <w:top w:val="none" w:sz="0" w:space="0" w:color="auto"/>
        <w:left w:val="none" w:sz="0" w:space="0" w:color="auto"/>
        <w:bottom w:val="none" w:sz="0" w:space="0" w:color="auto"/>
        <w:right w:val="none" w:sz="0" w:space="0" w:color="auto"/>
      </w:divBdr>
    </w:div>
    <w:div w:id="203379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798C-A71B-42C5-A02B-796D2D36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2349</Words>
  <Characters>14097</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Zamówienia Publiczne</cp:lastModifiedBy>
  <cp:revision>12</cp:revision>
  <cp:lastPrinted>2025-10-21T08:43:00Z</cp:lastPrinted>
  <dcterms:created xsi:type="dcterms:W3CDTF">2025-11-24T08:56:00Z</dcterms:created>
  <dcterms:modified xsi:type="dcterms:W3CDTF">2025-12-01T08:11:00Z</dcterms:modified>
</cp:coreProperties>
</file>