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 xml:space="preserve">Wykonawca:                                                                                                                                                                                    </w:t>
      </w:r>
      <w:r w:rsidRPr="00DE117E">
        <w:rPr>
          <w:rFonts w:asciiTheme="minorHAnsi" w:hAnsiTheme="minorHAnsi" w:cstheme="minorHAnsi"/>
          <w:b/>
          <w:sz w:val="20"/>
          <w:szCs w:val="20"/>
        </w:rPr>
        <w:t>Załącznik nr 1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(</w:t>
      </w:r>
      <w:r w:rsidRPr="00DE117E">
        <w:rPr>
          <w:rFonts w:asciiTheme="minorHAnsi" w:hAnsiTheme="minorHAnsi" w:cstheme="minorHAnsi"/>
          <w:i/>
          <w:sz w:val="20"/>
          <w:szCs w:val="20"/>
        </w:rPr>
        <w:t>pełna nazwa/firma, adres)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NIP</w:t>
      </w:r>
      <w:r w:rsidRPr="00DE117E">
        <w:rPr>
          <w:rFonts w:asciiTheme="minorHAnsi" w:hAnsiTheme="minorHAnsi" w:cstheme="minorHAnsi"/>
          <w:i/>
          <w:sz w:val="20"/>
          <w:szCs w:val="20"/>
        </w:rPr>
        <w:t xml:space="preserve"> ……………………….</w:t>
      </w:r>
    </w:p>
    <w:p w:rsidR="0009471C" w:rsidRPr="00DE117E" w:rsidRDefault="0009471C" w:rsidP="0009471C">
      <w:pPr>
        <w:tabs>
          <w:tab w:val="left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E117E">
        <w:rPr>
          <w:rFonts w:asciiTheme="minorHAnsi" w:hAnsiTheme="minorHAnsi" w:cstheme="minorHAnsi"/>
          <w:i/>
          <w:sz w:val="20"/>
          <w:szCs w:val="20"/>
        </w:rPr>
        <w:t>KRS ………………………</w:t>
      </w:r>
    </w:p>
    <w:p w:rsidR="0009471C" w:rsidRDefault="0009471C" w:rsidP="0009471C">
      <w:pPr>
        <w:tabs>
          <w:tab w:val="left" w:pos="9072"/>
        </w:tabs>
        <w:jc w:val="both"/>
        <w:rPr>
          <w:rFonts w:ascii="Cambria" w:hAnsi="Cambria" w:cs="Arial"/>
          <w:i/>
          <w:sz w:val="20"/>
          <w:szCs w:val="20"/>
        </w:rPr>
      </w:pPr>
    </w:p>
    <w:p w:rsidR="0009471C" w:rsidRPr="00ED4285" w:rsidRDefault="0009471C" w:rsidP="00D274B7">
      <w:pPr>
        <w:tabs>
          <w:tab w:val="left" w:pos="9072"/>
        </w:tabs>
        <w:spacing w:line="48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D4285">
        <w:rPr>
          <w:rFonts w:ascii="Cambria" w:hAnsi="Cambria" w:cs="Arial"/>
          <w:b/>
          <w:bCs/>
          <w:sz w:val="20"/>
          <w:szCs w:val="20"/>
        </w:rPr>
        <w:t xml:space="preserve">OFERTA ASORTYMENTOWO – CENOWA                                              </w:t>
      </w:r>
    </w:p>
    <w:p w:rsidR="0009471C" w:rsidRDefault="0009471C" w:rsidP="00D274B7">
      <w:pPr>
        <w:tabs>
          <w:tab w:val="left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D4285">
        <w:rPr>
          <w:rFonts w:ascii="Cambria" w:hAnsi="Cambria" w:cs="Arial"/>
          <w:b/>
          <w:bCs/>
          <w:sz w:val="20"/>
          <w:szCs w:val="20"/>
        </w:rPr>
        <w:t xml:space="preserve">     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W odpowiedzi na ogłoszenie dotyczące udzielenia zamówienia na dostawy odczynników do przeprowadzania diagnostyki </w:t>
      </w:r>
      <w:proofErr w:type="spellStart"/>
      <w:r w:rsidRPr="00D274B7">
        <w:rPr>
          <w:rFonts w:asciiTheme="minorHAnsi" w:hAnsiTheme="minorHAnsi" w:cstheme="minorHAnsi"/>
          <w:b/>
          <w:bCs/>
          <w:sz w:val="20"/>
          <w:szCs w:val="20"/>
        </w:rPr>
        <w:t>hematoonkologicznej</w:t>
      </w:r>
      <w:proofErr w:type="spellEnd"/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 przy użyciu </w:t>
      </w:r>
      <w:proofErr w:type="spellStart"/>
      <w:r w:rsidRPr="00D274B7">
        <w:rPr>
          <w:rFonts w:asciiTheme="minorHAnsi" w:hAnsiTheme="minorHAnsi" w:cstheme="minorHAnsi"/>
          <w:b/>
          <w:bCs/>
          <w:sz w:val="20"/>
          <w:szCs w:val="20"/>
        </w:rPr>
        <w:t>cytometrii</w:t>
      </w:r>
      <w:proofErr w:type="spellEnd"/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 przepływowej dla Szpitala Specjalistycznego w Brzozowie Podkarpackiego Ośrodka Onkologicznego im. Ks. B. Markiewicza, znak sprawy S</w:t>
      </w:r>
      <w:r w:rsidR="00A56E52">
        <w:rPr>
          <w:rFonts w:asciiTheme="minorHAnsi" w:hAnsiTheme="minorHAnsi" w:cstheme="minorHAnsi"/>
          <w:b/>
          <w:bCs/>
          <w:sz w:val="20"/>
          <w:szCs w:val="20"/>
        </w:rPr>
        <w:t>z.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A56E5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POO.SZP</w:t>
      </w:r>
      <w:r w:rsidR="00A56E5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3810</w:t>
      </w:r>
      <w:r w:rsidR="00A56E52">
        <w:rPr>
          <w:rFonts w:asciiTheme="minorHAnsi" w:hAnsiTheme="minorHAnsi" w:cstheme="minorHAnsi"/>
          <w:b/>
          <w:bCs/>
          <w:sz w:val="20"/>
          <w:szCs w:val="20"/>
        </w:rPr>
        <w:t>.102.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A56E52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 przedstawiamy następującą ofertę:</w:t>
      </w:r>
    </w:p>
    <w:p w:rsidR="00DE117E" w:rsidRPr="00D274B7" w:rsidRDefault="00DE117E" w:rsidP="00D274B7">
      <w:pPr>
        <w:tabs>
          <w:tab w:val="left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1466" w:type="dxa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1418"/>
        <w:gridCol w:w="1211"/>
        <w:gridCol w:w="757"/>
        <w:gridCol w:w="867"/>
        <w:gridCol w:w="1134"/>
        <w:gridCol w:w="534"/>
        <w:gridCol w:w="742"/>
        <w:gridCol w:w="1259"/>
      </w:tblGrid>
      <w:tr w:rsidR="0009471C" w:rsidRPr="0009471C" w:rsidTr="0033379D">
        <w:trPr>
          <w:trHeight w:val="55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OPIS PRODUKTU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KLON</w:t>
            </w:r>
          </w:p>
        </w:tc>
        <w:tc>
          <w:tcPr>
            <w:tcW w:w="1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ILOŚĆ SZTUK W OPAKOWANIU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ILOŚĆ W OFERCIE</w:t>
            </w:r>
          </w:p>
        </w:tc>
        <w:tc>
          <w:tcPr>
            <w:tcW w:w="86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Cena netto / 1op.</w:t>
            </w: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Wartość netto</w:t>
            </w:r>
            <w:r w:rsidR="00A56E5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PLN</w:t>
            </w:r>
          </w:p>
        </w:tc>
        <w:tc>
          <w:tcPr>
            <w:tcW w:w="5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Vat %</w:t>
            </w:r>
          </w:p>
        </w:tc>
        <w:tc>
          <w:tcPr>
            <w:tcW w:w="74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Cena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brutto</w:t>
            </w:r>
            <w:proofErr w:type="spellEnd"/>
            <w:r w:rsidR="0033379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 1 op</w:t>
            </w:r>
            <w:r w:rsidR="0033379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8B3B78">
            <w:pPr>
              <w:suppressAutoHyphens/>
              <w:autoSpaceDN w:val="0"/>
              <w:ind w:left="-516" w:firstLine="425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Wartość brutto</w:t>
            </w:r>
            <w:r w:rsidR="00A56E5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PLN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S5.2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L17F12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CD43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1G10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CD8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CD14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MϕP9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CD15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MMA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CD36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CLB-IVC7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CD56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CD58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1C3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CD64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CD71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L01.1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CD138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MI15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IgM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Kpa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ItCl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FITC G155-228 50Tst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G155-228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FMC-7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FMC7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Anti-TCR-a/b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WT31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CD45RA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L48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CD57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HNK-1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CD371 FITC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Cyklina D1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G124-326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CD7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M-T701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CD8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CD10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HI10a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CD11b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D12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CD11C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S-HCL-3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CD27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L128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CD23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EBVCS-5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CD33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P67.6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CD34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8G12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CD38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HB7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CD66B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G10F5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CD103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Ber-ACT8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CD117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104D2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CD56 PE</w:t>
            </w:r>
          </w:p>
        </w:tc>
        <w:tc>
          <w:tcPr>
            <w:tcW w:w="14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404041"/>
                <w:sz w:val="18"/>
                <w:szCs w:val="18"/>
              </w:rPr>
            </w:pPr>
            <w:r w:rsidRPr="0009471C">
              <w:rPr>
                <w:rFonts w:ascii="Arial" w:hAnsi="Arial" w:cs="Arial"/>
                <w:color w:val="404041"/>
                <w:sz w:val="18"/>
                <w:szCs w:val="18"/>
              </w:rPr>
              <w:t>NCAM16.2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CD138 PE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MI15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ANTI-GLYCOPHORIN A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GA-R2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ANTI-BCL-2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Bcl-2/100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ZAP 70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1E7.2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CD30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BerH8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Anti-TCR-g/d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11F2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CD45RO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UCHL1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CD133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W6B3C1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25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CD371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TIM-3 (CD366) PE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7D3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CD8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PerCP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5.5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SK1</w:t>
            </w:r>
          </w:p>
        </w:tc>
        <w:tc>
          <w:tcPr>
            <w:tcW w:w="1211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CD34 PERCP-CY5.5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8G12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PerCP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Cy5.5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CD19 PerCP-Cy5.5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SJ25C1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CD33 PerCP-Cy5.5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P67.6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CD64 PerCP-Cy5.5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CD10 PE-Cy7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HI10a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CD11C PE-Cy7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B-ly6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CD117 PE-Cy7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104D2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 PE CY7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CD44 PE-Cy7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G44-26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L17F12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CD10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HI10a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CD19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SJ25C1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CD33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P67.6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CD123 APC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9F5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CD34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8G12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CD138 APC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MI15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CD56 APC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CD16 APC-H7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3G8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CD81 APC-H7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JS-81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CD14 APC-Cy7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MϕP9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ANTI-HLA-DR APC-H7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L243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CD38 APC-H7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HB7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CD4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CD11c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B-ly6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CD58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1C3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CD81 (TAPA-1)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JS-81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CD13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CD16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3G8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CD23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EBVCS-5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CD43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1G10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CD123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9F5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CD20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2H7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Bcl-6 R718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K112-91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CD20 BV421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2H7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CD22 BV421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HIB22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CD200 BV421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MRC OX-104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HLA-DR BV421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G46-6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CD13 BV421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CD33 BV421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WM53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CD45 BV510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HI30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CD81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JS-81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CD58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1C3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90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Hu CD13 BV605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WM15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CD16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3G8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CD23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EBVCS-5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CD123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9F5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CD20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2H7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CD56 BV605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CD135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4G8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CD184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12G5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NG2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25 µg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CD38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HB7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CD79b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3A2-2E7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CD16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B73.1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CD56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CD65 FITC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VIM8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CD65 PE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VIM8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CD19 PE-Cy7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SJ25C1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CD36 APC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CB38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47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CompBead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Set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Anti-mouse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Ig, κ Zestaw mikrocząsteczek polistyrenowych,</w:t>
            </w:r>
            <w:r w:rsidRPr="0009471C">
              <w:rPr>
                <w:rFonts w:ascii="Helvetica" w:eastAsia="Calibri" w:hAnsi="Helvetica"/>
                <w:color w:val="424242"/>
                <w:sz w:val="18"/>
                <w:szCs w:val="18"/>
                <w:shd w:val="clear" w:color="auto" w:fill="FFFFFF"/>
                <w:lang w:eastAsia="en-US"/>
              </w:rPr>
              <w:t> </w:t>
            </w:r>
            <w:r w:rsidRPr="0009471C">
              <w:rPr>
                <w:rFonts w:ascii="Calibri" w:hAnsi="Calibri" w:cs="Calibri"/>
                <w:sz w:val="18"/>
                <w:szCs w:val="18"/>
              </w:rPr>
              <w:t xml:space="preserve">które służą do optymalizacji ustawień kompensacji fluorescencji w wielokolorowych analizach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cytometrii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przepływowej. Zestaw zawiera dwie populacje mikrocząsteczek: cząsteczki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CompBeads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Anti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-Mouse Ig, κ, które wiążą dowolną mysią immunoglobulinę zawierającą łańcuch lekki κ, oraz negatywną kontrolę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CompBeads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, która nie wykazuje zdolności wiązania.</w:t>
            </w:r>
            <w:r w:rsidRPr="0009471C">
              <w:rPr>
                <w:rFonts w:ascii="Helvetica" w:eastAsia="Calibri" w:hAnsi="Helvetica"/>
                <w:color w:val="424242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6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Roztwór lizujący przeznaczony do lizy czerwonych krwinek po bezpośrednim barwieniu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immunofluorescencyjnym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, komórek krwi obwodowej, przeciwciałami monoklonalnymi przed analizą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cytometrii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przepływowej.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100mL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FACSFLOW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20L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FACS SHUTDOWN SOLUTION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5 l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FACS CLEAN 5L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5 l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Stem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Cell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Enumeration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KiT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zestaw umożliwiający jednoczesną enumerację żywych, podwójnie dodatnich populacji komórek macierzystych hematopoezy CD45 + /CD34 + w bezwzględnej liczbie CD34 + (komórki/µl), a także w procentach całkowitej liczby żywych leukocytów, które są CD34 + (%CD34)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MULTI-CHECK CTRL1x2.5ml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krwi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pełnej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 </w:t>
            </w:r>
            <w:r w:rsidRPr="0009471C">
              <w:rPr>
                <w:rFonts w:ascii="Calibri" w:hAnsi="Calibri" w:cs="Calibri"/>
                <w:sz w:val="18"/>
                <w:szCs w:val="18"/>
              </w:rPr>
              <w:t xml:space="preserve">Kontrola, która jest przeznaczona do pełnej kontroli procesu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immunofenotypowania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metodą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cytometrii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przepływowej. Służąca do kontroli barwienia przeciwciałami, lizy czerwonych krwinek (RBC), konfiguracji i działania aparatu oraz analizy danych.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2.5 ml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58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Kulki (CS&amp;T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) dedykowane do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BD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FACSLyric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™, służące do przeprowadzania codziennej kontroli jakości i ustawień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dla aplikacji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lyse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wash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150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Kit FC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5-Color do ustawienia kompensacji dla analizy wielokolorowej dla następujących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fluorochromów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: APC-R700, APC-H7, V450, V500-C, BV605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Kit FC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7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Color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do ustawienia kompensacji dla analizy wielokolorowej dla następujących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fluorochromów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: FITC, PE, PerCP-Cy5.5,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PerCP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, APC, PE-Cy7, APC-Cy7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Odczynnik lizujący na bazie chlorku amonu, stężony (10X</w:t>
            </w:r>
            <w:r w:rsidRPr="0009471C">
              <w:rPr>
                <w:rFonts w:ascii="Helvetica" w:eastAsia="Calibri" w:hAnsi="Helvetica"/>
                <w:color w:val="424242"/>
                <w:sz w:val="18"/>
                <w:szCs w:val="1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Stain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Buffer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(BSA) – bufor do aplikacji z użyciem barwników fluorescencyjnych, służący do zawieszania, płukania komórek przed analizą w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cytometrze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przepływowym.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500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Kulki (CS&amp;T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) dedykowane do oprogramowania BD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FACDiva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9.2 służące do ustawienia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, przeprowadzania codziennej kontroli jakości i ustawień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471C" w:rsidRPr="0009471C" w:rsidTr="0033379D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Oprogramowanie</w:t>
            </w:r>
            <w:proofErr w:type="spellEnd"/>
            <w:r w:rsidRPr="0009471C">
              <w:rPr>
                <w:rFonts w:ascii="Calibri" w:eastAsia="Calibri" w:hAnsi="Calibri"/>
                <w:sz w:val="18"/>
                <w:szCs w:val="18"/>
                <w:lang w:val="en-US" w:eastAsia="en-US"/>
              </w:rPr>
              <w:t xml:space="preserve"> Software Bundle </w:t>
            </w:r>
            <w:proofErr w:type="spellStart"/>
            <w:r w:rsidRPr="0009471C">
              <w:rPr>
                <w:rFonts w:ascii="Calibri" w:eastAsia="Calibri" w:hAnsi="Calibri"/>
                <w:sz w:val="18"/>
                <w:szCs w:val="18"/>
                <w:lang w:val="en-US" w:eastAsia="en-US"/>
              </w:rPr>
              <w:t>FACSDiva</w:t>
            </w:r>
            <w:proofErr w:type="spellEnd"/>
            <w:r w:rsidRPr="0009471C">
              <w:rPr>
                <w:rFonts w:ascii="Calibri" w:eastAsia="Calibri" w:hAnsi="Calibri"/>
                <w:sz w:val="18"/>
                <w:szCs w:val="18"/>
                <w:lang w:val="en-US" w:eastAsia="en-US"/>
              </w:rPr>
              <w:t xml:space="preserve"> with Dongle: Diva 9.2 + dongle.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471C" w:rsidRPr="0009471C" w:rsidRDefault="0009471C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1B37C9" w:rsidRPr="0009471C" w:rsidTr="001B37C9">
        <w:trPr>
          <w:trHeight w:val="4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7C9" w:rsidRPr="0009471C" w:rsidRDefault="001B37C9" w:rsidP="0009471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7C9" w:rsidRPr="0009471C" w:rsidRDefault="001B37C9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SUMA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7C9" w:rsidRPr="0009471C" w:rsidRDefault="001B37C9" w:rsidP="001B37C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x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7C9" w:rsidRPr="0009471C" w:rsidRDefault="001B37C9" w:rsidP="001B37C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x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7C9" w:rsidRPr="0009471C" w:rsidRDefault="001B37C9" w:rsidP="001B37C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7C9" w:rsidRPr="0009471C" w:rsidRDefault="001B37C9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7C9" w:rsidRPr="0009471C" w:rsidRDefault="001B37C9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7C9" w:rsidRPr="0009471C" w:rsidRDefault="001B37C9" w:rsidP="001B37C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7C9" w:rsidRPr="0009471C" w:rsidRDefault="001B37C9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7C9" w:rsidRPr="0009471C" w:rsidRDefault="001B37C9" w:rsidP="0009471C">
            <w:pPr>
              <w:suppressAutoHyphens/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494799" w:rsidRDefault="00494799"/>
    <w:p w:rsidR="00077798" w:rsidRPr="00427108" w:rsidRDefault="00077798" w:rsidP="00077798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 xml:space="preserve">Termin dostawy: ………………. dni </w:t>
      </w:r>
      <w:r w:rsidR="0095372E">
        <w:rPr>
          <w:rFonts w:asciiTheme="minorHAnsi" w:hAnsiTheme="minorHAnsi" w:cstheme="minorHAnsi"/>
          <w:bCs/>
          <w:sz w:val="20"/>
          <w:szCs w:val="20"/>
        </w:rPr>
        <w:t>(max 14)</w:t>
      </w:r>
      <w:r w:rsidRPr="00427108">
        <w:rPr>
          <w:rFonts w:asciiTheme="minorHAnsi" w:hAnsiTheme="minorHAnsi" w:cstheme="minorHAnsi"/>
          <w:bCs/>
          <w:sz w:val="20"/>
          <w:szCs w:val="20"/>
        </w:rPr>
        <w:t xml:space="preserve"> od dnia  złożenia zamówienia</w:t>
      </w:r>
      <w:r w:rsidR="00427108">
        <w:rPr>
          <w:rFonts w:asciiTheme="minorHAnsi" w:hAnsiTheme="minorHAnsi" w:cstheme="minorHAnsi"/>
          <w:bCs/>
          <w:sz w:val="20"/>
          <w:szCs w:val="20"/>
        </w:rPr>
        <w:t>.</w:t>
      </w:r>
      <w:r w:rsidRPr="0042710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077798" w:rsidRPr="00427108" w:rsidRDefault="00077798">
      <w:pPr>
        <w:rPr>
          <w:rFonts w:asciiTheme="minorHAnsi" w:hAnsiTheme="minorHAnsi" w:cstheme="minorHAnsi"/>
        </w:rPr>
      </w:pPr>
    </w:p>
    <w:p w:rsidR="00077798" w:rsidRPr="00427108" w:rsidRDefault="00077798" w:rsidP="00427108">
      <w:pPr>
        <w:tabs>
          <w:tab w:val="left" w:pos="907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108">
        <w:rPr>
          <w:rFonts w:asciiTheme="minorHAnsi" w:hAnsiTheme="minorHAnsi" w:cstheme="minorHAnsi"/>
          <w:b/>
          <w:sz w:val="20"/>
          <w:szCs w:val="20"/>
        </w:rPr>
        <w:t>Osoba/y upoważniona/e do kontaktu:</w:t>
      </w:r>
    </w:p>
    <w:p w:rsidR="00077798" w:rsidRPr="00427108" w:rsidRDefault="00077798" w:rsidP="00427108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  <w:bookmarkStart w:id="0" w:name="_GoBack"/>
      <w:bookmarkEnd w:id="0"/>
    </w:p>
    <w:p w:rsidR="00077798" w:rsidRPr="00427108" w:rsidRDefault="00077798" w:rsidP="00427108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Nr tel. …………………………….</w:t>
      </w:r>
    </w:p>
    <w:p w:rsidR="00077798" w:rsidRPr="00427108" w:rsidRDefault="00077798" w:rsidP="00427108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Nr fax…………………………….</w:t>
      </w:r>
    </w:p>
    <w:p w:rsidR="00077798" w:rsidRDefault="00077798" w:rsidP="00427108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mail ………………..…………….</w:t>
      </w:r>
    </w:p>
    <w:p w:rsidR="00FE59FF" w:rsidRPr="00427108" w:rsidRDefault="00FE59FF" w:rsidP="00427108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077798" w:rsidRDefault="00077798" w:rsidP="00427108"/>
    <w:tbl>
      <w:tblPr>
        <w:tblStyle w:val="Tabela-Siatka"/>
        <w:tblW w:w="11058" w:type="dxa"/>
        <w:tblInd w:w="-431" w:type="dxa"/>
        <w:tblLook w:val="04A0" w:firstRow="1" w:lastRow="0" w:firstColumn="1" w:lastColumn="0" w:noHBand="0" w:noVBand="1"/>
      </w:tblPr>
      <w:tblGrid>
        <w:gridCol w:w="852"/>
        <w:gridCol w:w="6871"/>
        <w:gridCol w:w="99"/>
        <w:gridCol w:w="3236"/>
      </w:tblGrid>
      <w:tr w:rsidR="00316639" w:rsidRPr="00316639" w:rsidTr="007B2B4D">
        <w:trPr>
          <w:trHeight w:val="411"/>
        </w:trPr>
        <w:tc>
          <w:tcPr>
            <w:tcW w:w="852" w:type="dxa"/>
            <w:shd w:val="clear" w:color="auto" w:fill="D9D9D9" w:themeFill="background1" w:themeFillShade="D9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WYMAGANIA</w:t>
            </w:r>
          </w:p>
        </w:tc>
        <w:tc>
          <w:tcPr>
            <w:tcW w:w="3335" w:type="dxa"/>
            <w:gridSpan w:val="2"/>
            <w:shd w:val="clear" w:color="auto" w:fill="D9D9D9" w:themeFill="background1" w:themeFillShade="D9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POZIOM WYMAGANEGO PARAMETRU</w:t>
            </w:r>
          </w:p>
        </w:tc>
      </w:tr>
      <w:tr w:rsidR="00316639" w:rsidRPr="00316639" w:rsidTr="007B2B4D">
        <w:trPr>
          <w:trHeight w:val="270"/>
        </w:trPr>
        <w:tc>
          <w:tcPr>
            <w:tcW w:w="11058" w:type="dxa"/>
            <w:gridSpan w:val="4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WYMAGANIA: Odczynniki</w:t>
            </w:r>
          </w:p>
        </w:tc>
      </w:tr>
      <w:tr w:rsidR="00316639" w:rsidRPr="00316639" w:rsidTr="007B2B4D">
        <w:trPr>
          <w:trHeight w:val="706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6871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Termin ważności odczynników wynosi przynajmniej 12 miesięcy dla odczynnika w momencie dostarczenia lub mniej niż 12 miesięcy jeśli pracownia zaakceptuje odczynnik.</w:t>
            </w:r>
          </w:p>
        </w:tc>
        <w:tc>
          <w:tcPr>
            <w:tcW w:w="3335" w:type="dxa"/>
            <w:gridSpan w:val="2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  <w:tr w:rsidR="00316639" w:rsidRPr="00316639" w:rsidTr="007B2B4D">
        <w:trPr>
          <w:trHeight w:val="416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6871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Odczynniki o charakterystyce pozwalającej na użytkowanie w aparat</w:t>
            </w:r>
            <w:r w:rsidR="0095372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ch FACS Canto II i FACS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Lyric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35" w:type="dxa"/>
            <w:gridSpan w:val="2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  <w:tr w:rsidR="00316639" w:rsidRPr="00316639" w:rsidTr="007B2B4D">
        <w:trPr>
          <w:trHeight w:val="270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WYMAGANIA OGÓLNE:</w:t>
            </w:r>
          </w:p>
        </w:tc>
      </w:tr>
      <w:tr w:rsidR="00316639" w:rsidRPr="00316639" w:rsidTr="007B2B4D">
        <w:trPr>
          <w:trHeight w:val="571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6970" w:type="dxa"/>
            <w:gridSpan w:val="2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Złożenie oferty na dostawę oprogramowania DIVA poprzedzone  weryfikacją parametrów komputera dedykowanego do  zainstalowania oprogramowania Software Bundle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FACSDiva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 with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Dongle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: Diva 9.2 +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dongle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. Wykonawca zapewni instalację oraz uruchomienie tego oprogramowania oraz test funkcjonalny.</w:t>
            </w:r>
          </w:p>
        </w:tc>
        <w:tc>
          <w:tcPr>
            <w:tcW w:w="3236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  <w:tr w:rsidR="00316639" w:rsidRPr="00316639" w:rsidTr="007B2B4D">
        <w:trPr>
          <w:trHeight w:val="740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6970" w:type="dxa"/>
            <w:gridSpan w:val="2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Wykonawca  pokryje koszt udziału w 3-dniowym szkoleniu dla 2 osób w ośrodku szkoleniowym na terenie Polski, które będzie podwyższało kwalifikacje w zakresie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cytometrii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 przepływowej.</w:t>
            </w:r>
          </w:p>
        </w:tc>
        <w:tc>
          <w:tcPr>
            <w:tcW w:w="3236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  <w:tr w:rsidR="00316639" w:rsidRPr="00316639" w:rsidTr="007B2B4D">
        <w:trPr>
          <w:trHeight w:val="700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6970" w:type="dxa"/>
            <w:gridSpan w:val="2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Wykonawca zobowiązuje się do dostarczenia kontroli BD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Stem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 Cell Control Kit zgodnie z ustalonym przez strony harmonogramem dostaw. Pierwsza dostawa kontroli ważnej w okresie</w:t>
            </w:r>
            <w:r w:rsidR="005638D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stycze</w:t>
            </w:r>
            <w:r w:rsidR="005638D0">
              <w:rPr>
                <w:rFonts w:asciiTheme="minorHAnsi" w:hAnsiTheme="minorHAnsi" w:cstheme="minorHAnsi"/>
                <w:sz w:val="20"/>
                <w:szCs w:val="20"/>
              </w:rPr>
              <w:t xml:space="preserve">ń </w:t>
            </w: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2026</w:t>
            </w:r>
          </w:p>
        </w:tc>
        <w:tc>
          <w:tcPr>
            <w:tcW w:w="3236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  <w:tr w:rsidR="00316639" w:rsidRPr="00316639" w:rsidTr="007B2B4D">
        <w:trPr>
          <w:trHeight w:val="700"/>
        </w:trPr>
        <w:tc>
          <w:tcPr>
            <w:tcW w:w="852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</w:p>
        </w:tc>
        <w:tc>
          <w:tcPr>
            <w:tcW w:w="6970" w:type="dxa"/>
            <w:gridSpan w:val="2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 xml:space="preserve">Wykonawca zobowiązuje się do przyjazdu, raz w roku, inżyniera aplikacyjnego do Szpitala Specjalistycznego Podkarpackiego Ośrodka Onkologicznego w Brzozowie w celu przeprowadzenia szkolenia z obsługi </w:t>
            </w:r>
            <w:proofErr w:type="spellStart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FACSuite</w:t>
            </w:r>
            <w:proofErr w:type="spellEnd"/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236" w:type="dxa"/>
          </w:tcPr>
          <w:p w:rsidR="00316639" w:rsidRPr="00316639" w:rsidRDefault="00316639" w:rsidP="00603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639">
              <w:rPr>
                <w:rFonts w:asciiTheme="minorHAnsi" w:hAnsiTheme="minorHAnsi" w:cstheme="minorHAnsi"/>
                <w:sz w:val="20"/>
                <w:szCs w:val="20"/>
              </w:rPr>
              <w:t>TAK, WYMAGANE</w:t>
            </w:r>
          </w:p>
        </w:tc>
      </w:tr>
    </w:tbl>
    <w:p w:rsidR="00316639" w:rsidRDefault="00316639" w:rsidP="00427108"/>
    <w:sectPr w:rsidR="00316639" w:rsidSect="0009471C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1C"/>
    <w:rsid w:val="00077798"/>
    <w:rsid w:val="0009471C"/>
    <w:rsid w:val="001B37C9"/>
    <w:rsid w:val="00316639"/>
    <w:rsid w:val="0033379D"/>
    <w:rsid w:val="003764C5"/>
    <w:rsid w:val="00427108"/>
    <w:rsid w:val="00472A7F"/>
    <w:rsid w:val="00494799"/>
    <w:rsid w:val="005638D0"/>
    <w:rsid w:val="0060364E"/>
    <w:rsid w:val="00644C62"/>
    <w:rsid w:val="007B2B4D"/>
    <w:rsid w:val="008B3B78"/>
    <w:rsid w:val="0095372E"/>
    <w:rsid w:val="00A56E52"/>
    <w:rsid w:val="00B1736D"/>
    <w:rsid w:val="00D274B7"/>
    <w:rsid w:val="00DE117E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0414"/>
  <w15:chartTrackingRefBased/>
  <w15:docId w15:val="{978C4110-4FC7-4F3C-97F4-FDEEA8A3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09471C"/>
  </w:style>
  <w:style w:type="character" w:styleId="Hipercze">
    <w:name w:val="Hyperlink"/>
    <w:basedOn w:val="Domylnaczcionkaakapitu"/>
    <w:rsid w:val="0009471C"/>
    <w:rPr>
      <w:color w:val="0563C1"/>
      <w:u w:val="single"/>
    </w:rPr>
  </w:style>
  <w:style w:type="character" w:styleId="UyteHipercze">
    <w:name w:val="FollowedHyperlink"/>
    <w:basedOn w:val="Domylnaczcionkaakapitu"/>
    <w:rsid w:val="0009471C"/>
    <w:rPr>
      <w:color w:val="954F72"/>
      <w:u w:val="single"/>
    </w:rPr>
  </w:style>
  <w:style w:type="paragraph" w:customStyle="1" w:styleId="msonormal0">
    <w:name w:val="msonormal"/>
    <w:basedOn w:val="Normalny"/>
    <w:rsid w:val="0009471C"/>
    <w:pPr>
      <w:suppressAutoHyphens/>
      <w:autoSpaceDN w:val="0"/>
      <w:spacing w:before="100" w:after="100"/>
      <w:textAlignment w:val="baseline"/>
    </w:pPr>
  </w:style>
  <w:style w:type="paragraph" w:customStyle="1" w:styleId="xl74">
    <w:name w:val="xl74"/>
    <w:basedOn w:val="Normalny"/>
    <w:rsid w:val="0009471C"/>
    <w:pPr>
      <w:suppressAutoHyphens/>
      <w:autoSpaceDN w:val="0"/>
      <w:spacing w:before="100" w:after="100"/>
      <w:textAlignment w:val="center"/>
    </w:pPr>
  </w:style>
  <w:style w:type="paragraph" w:customStyle="1" w:styleId="xl75">
    <w:name w:val="xl75"/>
    <w:basedOn w:val="Normalny"/>
    <w:rsid w:val="0009471C"/>
    <w:pPr>
      <w:suppressAutoHyphens/>
      <w:autoSpaceDN w:val="0"/>
      <w:spacing w:before="100" w:after="100"/>
      <w:jc w:val="center"/>
      <w:textAlignment w:val="center"/>
    </w:pPr>
  </w:style>
  <w:style w:type="paragraph" w:customStyle="1" w:styleId="xl76">
    <w:name w:val="xl76"/>
    <w:basedOn w:val="Normalny"/>
    <w:rsid w:val="00094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suppressAutoHyphens/>
      <w:autoSpaceDN w:val="0"/>
      <w:spacing w:before="100" w:after="100"/>
      <w:jc w:val="center"/>
      <w:textAlignment w:val="center"/>
    </w:pPr>
  </w:style>
  <w:style w:type="paragraph" w:customStyle="1" w:styleId="xl77">
    <w:name w:val="xl77"/>
    <w:basedOn w:val="Normalny"/>
    <w:rsid w:val="0009471C"/>
    <w:pPr>
      <w:suppressAutoHyphens/>
      <w:autoSpaceDN w:val="0"/>
      <w:spacing w:before="100" w:after="100"/>
      <w:jc w:val="center"/>
      <w:textAlignment w:val="center"/>
    </w:pPr>
  </w:style>
  <w:style w:type="paragraph" w:customStyle="1" w:styleId="xl78">
    <w:name w:val="xl78"/>
    <w:basedOn w:val="Normalny"/>
    <w:rsid w:val="00094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suppressAutoHyphens/>
      <w:autoSpaceDN w:val="0"/>
      <w:spacing w:before="100" w:after="100"/>
      <w:jc w:val="center"/>
      <w:textAlignment w:val="center"/>
    </w:pPr>
  </w:style>
  <w:style w:type="paragraph" w:customStyle="1" w:styleId="xl79">
    <w:name w:val="xl79"/>
    <w:basedOn w:val="Normalny"/>
    <w:rsid w:val="00094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suppressAutoHyphens/>
      <w:autoSpaceDN w:val="0"/>
      <w:spacing w:before="100" w:after="100"/>
      <w:jc w:val="center"/>
      <w:textAlignment w:val="center"/>
    </w:pPr>
  </w:style>
  <w:style w:type="paragraph" w:customStyle="1" w:styleId="xl80">
    <w:name w:val="xl80"/>
    <w:basedOn w:val="Normalny"/>
    <w:rsid w:val="0009471C"/>
    <w:pPr>
      <w:shd w:val="clear" w:color="auto" w:fill="FFFFFF"/>
      <w:suppressAutoHyphens/>
      <w:autoSpaceDN w:val="0"/>
      <w:spacing w:before="100" w:after="100"/>
      <w:textAlignment w:val="center"/>
    </w:pPr>
  </w:style>
  <w:style w:type="paragraph" w:customStyle="1" w:styleId="xl81">
    <w:name w:val="xl81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center"/>
    </w:pPr>
  </w:style>
  <w:style w:type="paragraph" w:customStyle="1" w:styleId="xl82">
    <w:name w:val="xl82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center"/>
    </w:pPr>
    <w:rPr>
      <w:rFonts w:ascii="Calibri" w:hAnsi="Calibri" w:cs="Calibri"/>
    </w:rPr>
  </w:style>
  <w:style w:type="paragraph" w:customStyle="1" w:styleId="xl83">
    <w:name w:val="xl83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center"/>
    </w:pPr>
    <w:rPr>
      <w:rFonts w:ascii="Calibri" w:hAnsi="Calibri" w:cs="Calibri"/>
    </w:rPr>
  </w:style>
  <w:style w:type="paragraph" w:customStyle="1" w:styleId="xl84">
    <w:name w:val="xl84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center"/>
    </w:pPr>
  </w:style>
  <w:style w:type="paragraph" w:customStyle="1" w:styleId="xl85">
    <w:name w:val="xl85"/>
    <w:basedOn w:val="Normalny"/>
    <w:rsid w:val="0009471C"/>
    <w:pPr>
      <w:suppressAutoHyphens/>
      <w:autoSpaceDN w:val="0"/>
      <w:spacing w:before="100" w:after="100"/>
      <w:textAlignment w:val="baseline"/>
    </w:pPr>
    <w:rPr>
      <w:rFonts w:ascii="Arial" w:hAnsi="Arial" w:cs="Arial"/>
      <w:color w:val="404041"/>
      <w:sz w:val="20"/>
      <w:szCs w:val="20"/>
    </w:rPr>
  </w:style>
  <w:style w:type="paragraph" w:customStyle="1" w:styleId="xl86">
    <w:name w:val="xl86"/>
    <w:basedOn w:val="Normalny"/>
    <w:rsid w:val="0009471C"/>
    <w:pPr>
      <w:shd w:val="clear" w:color="auto" w:fill="FFFFFF"/>
      <w:suppressAutoHyphens/>
      <w:autoSpaceDN w:val="0"/>
      <w:spacing w:before="100" w:after="100"/>
      <w:textAlignment w:val="baseline"/>
    </w:pPr>
    <w:rPr>
      <w:rFonts w:ascii="Calibri" w:hAnsi="Calibri" w:cs="Calibri"/>
    </w:rPr>
  </w:style>
  <w:style w:type="paragraph" w:customStyle="1" w:styleId="xl87">
    <w:name w:val="xl87"/>
    <w:basedOn w:val="Normalny"/>
    <w:rsid w:val="0009471C"/>
    <w:pPr>
      <w:suppressAutoHyphens/>
      <w:autoSpaceDN w:val="0"/>
      <w:spacing w:before="100" w:after="100"/>
      <w:textAlignment w:val="baseline"/>
    </w:pPr>
    <w:rPr>
      <w:rFonts w:ascii="Calibri" w:hAnsi="Calibri" w:cs="Calibri"/>
    </w:rPr>
  </w:style>
  <w:style w:type="paragraph" w:customStyle="1" w:styleId="xl88">
    <w:name w:val="xl88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center"/>
    </w:pPr>
    <w:rPr>
      <w:rFonts w:ascii="Calibri" w:hAnsi="Calibri" w:cs="Calibri"/>
    </w:rPr>
  </w:style>
  <w:style w:type="paragraph" w:customStyle="1" w:styleId="xl89">
    <w:name w:val="xl89"/>
    <w:basedOn w:val="Normalny"/>
    <w:rsid w:val="0009471C"/>
    <w:pPr>
      <w:suppressAutoHyphens/>
      <w:autoSpaceDN w:val="0"/>
      <w:spacing w:before="100" w:after="100"/>
      <w:textAlignment w:val="center"/>
    </w:pPr>
  </w:style>
  <w:style w:type="paragraph" w:customStyle="1" w:styleId="xl90">
    <w:name w:val="xl90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center"/>
    </w:pPr>
  </w:style>
  <w:style w:type="paragraph" w:customStyle="1" w:styleId="xl91">
    <w:name w:val="xl91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center"/>
    </w:pPr>
  </w:style>
  <w:style w:type="paragraph" w:customStyle="1" w:styleId="xl92">
    <w:name w:val="xl92"/>
    <w:basedOn w:val="Normalny"/>
    <w:rsid w:val="00094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center"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31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1351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13</cp:revision>
  <dcterms:created xsi:type="dcterms:W3CDTF">2025-10-15T10:02:00Z</dcterms:created>
  <dcterms:modified xsi:type="dcterms:W3CDTF">2025-10-20T07:21:00Z</dcterms:modified>
</cp:coreProperties>
</file>