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08F4F" w14:textId="6C0D8922" w:rsidR="00862C16" w:rsidRPr="00A44E12" w:rsidRDefault="00862C16" w:rsidP="00862C16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A44E12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355459E" w14:textId="505CFDF6" w:rsidR="00A44E12" w:rsidRPr="0039653D" w:rsidRDefault="00862C16" w:rsidP="00A44E12">
      <w:pPr>
        <w:pStyle w:val="Bezodstpw"/>
        <w:rPr>
          <w:rFonts w:asciiTheme="minorHAnsi" w:hAnsiTheme="minorHAnsi" w:cstheme="minorHAnsi"/>
          <w:b/>
        </w:rPr>
      </w:pPr>
      <w:r w:rsidRPr="0039653D">
        <w:rPr>
          <w:rFonts w:asciiTheme="minorHAnsi" w:hAnsiTheme="minorHAnsi" w:cstheme="minorHAnsi"/>
          <w:b/>
        </w:rPr>
        <w:t xml:space="preserve"> Nazwa i adres wykonawcy</w:t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  <w:t>Załącznik nr 1 do SWZ</w:t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  <w:r w:rsidR="00A44E12" w:rsidRPr="0039653D">
        <w:rPr>
          <w:rFonts w:asciiTheme="minorHAnsi" w:hAnsiTheme="minorHAnsi" w:cstheme="minorHAnsi"/>
          <w:b/>
          <w:bCs/>
        </w:rPr>
        <w:tab/>
      </w:r>
    </w:p>
    <w:p w14:paraId="495C7C24" w14:textId="045B6383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1055C40" w14:textId="6079B59F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094B00C6" w14:textId="6E8AA851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i/>
          <w:sz w:val="22"/>
          <w:szCs w:val="22"/>
        </w:rPr>
        <w:t>(pełna nazwa/firma, adres</w:t>
      </w:r>
      <w:r w:rsidR="001E4D9B">
        <w:rPr>
          <w:rFonts w:asciiTheme="minorHAnsi" w:hAnsiTheme="minorHAnsi" w:cstheme="minorHAnsi"/>
          <w:b/>
          <w:bCs/>
          <w:i/>
          <w:sz w:val="22"/>
          <w:szCs w:val="22"/>
        </w:rPr>
        <w:t>)</w:t>
      </w:r>
      <w:r w:rsidRPr="0039653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, w zależności od podmiotu: </w:t>
      </w:r>
    </w:p>
    <w:p w14:paraId="1D6960E8" w14:textId="77777777" w:rsidR="00A44E12" w:rsidRPr="0039653D" w:rsidRDefault="00A44E12" w:rsidP="00A44E12">
      <w:pPr>
        <w:pStyle w:val="Tekstpodstawowy"/>
        <w:spacing w:after="60" w:line="276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i/>
          <w:sz w:val="22"/>
          <w:szCs w:val="22"/>
        </w:rPr>
        <w:t>NIP:………………………………………….</w:t>
      </w:r>
    </w:p>
    <w:p w14:paraId="3108E91F" w14:textId="2728B552" w:rsidR="00383E12" w:rsidRPr="00A44E12" w:rsidRDefault="00A44E12" w:rsidP="005E5E84">
      <w:pPr>
        <w:tabs>
          <w:tab w:val="left" w:pos="9072"/>
        </w:tabs>
        <w:ind w:hanging="851"/>
        <w:rPr>
          <w:rFonts w:asciiTheme="minorHAnsi" w:hAnsiTheme="minorHAnsi" w:cs="Arial"/>
          <w:b/>
          <w:sz w:val="20"/>
          <w:szCs w:val="20"/>
        </w:rPr>
      </w:pPr>
      <w:r w:rsidRPr="0039653D">
        <w:rPr>
          <w:rFonts w:asciiTheme="minorHAnsi" w:hAnsiTheme="minorHAnsi" w:cstheme="minorHAnsi"/>
          <w:b/>
          <w:bCs/>
          <w:i/>
        </w:rPr>
        <w:tab/>
        <w:t>KRS: ……………………………………..…</w:t>
      </w:r>
      <w:r w:rsidRPr="00C3745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C3745C">
        <w:rPr>
          <w:rFonts w:asciiTheme="minorHAnsi" w:hAnsiTheme="minorHAnsi" w:cs="Arial"/>
          <w:b/>
          <w:i/>
          <w:sz w:val="20"/>
          <w:szCs w:val="20"/>
        </w:rPr>
        <w:t xml:space="preserve"> </w:t>
      </w:r>
    </w:p>
    <w:p w14:paraId="31B37575" w14:textId="77777777" w:rsidR="00862C16" w:rsidRPr="00E008A9" w:rsidRDefault="00862C16" w:rsidP="00862C16">
      <w:pPr>
        <w:pStyle w:val="Bezodstpw"/>
        <w:rPr>
          <w:rFonts w:asciiTheme="minorHAnsi" w:hAnsiTheme="minorHAnsi" w:cstheme="minorHAnsi"/>
          <w:b/>
        </w:rPr>
      </w:pP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</w:r>
      <w:r w:rsidRPr="00E008A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</w:t>
      </w:r>
    </w:p>
    <w:p w14:paraId="3D6A6E98" w14:textId="77777777" w:rsidR="005E5E84" w:rsidRPr="0039653D" w:rsidRDefault="005E5E84" w:rsidP="00862C16">
      <w:pPr>
        <w:jc w:val="center"/>
        <w:rPr>
          <w:rFonts w:asciiTheme="minorHAnsi" w:hAnsiTheme="minorHAnsi" w:cstheme="minorHAnsi"/>
          <w:b/>
        </w:rPr>
      </w:pPr>
      <w:r w:rsidRPr="0039653D">
        <w:rPr>
          <w:rFonts w:asciiTheme="minorHAnsi" w:hAnsiTheme="minorHAnsi" w:cstheme="minorHAnsi"/>
          <w:b/>
        </w:rPr>
        <w:t>OFERTA</w:t>
      </w:r>
    </w:p>
    <w:p w14:paraId="42C9FD3D" w14:textId="4C8D6A48" w:rsidR="00862C16" w:rsidRPr="0039653D" w:rsidRDefault="005E5E84" w:rsidP="00862C16">
      <w:pPr>
        <w:jc w:val="center"/>
        <w:rPr>
          <w:rFonts w:asciiTheme="minorHAnsi" w:hAnsiTheme="minorHAnsi" w:cstheme="minorHAnsi"/>
          <w:b/>
        </w:rPr>
      </w:pPr>
      <w:r w:rsidRPr="0039653D">
        <w:rPr>
          <w:rFonts w:asciiTheme="minorHAnsi" w:hAnsiTheme="minorHAnsi" w:cstheme="minorHAnsi"/>
          <w:b/>
        </w:rPr>
        <w:t xml:space="preserve">WRAZ Z </w:t>
      </w:r>
      <w:r w:rsidR="00862C16" w:rsidRPr="0039653D">
        <w:rPr>
          <w:rFonts w:asciiTheme="minorHAnsi" w:hAnsiTheme="minorHAnsi" w:cstheme="minorHAnsi"/>
          <w:b/>
        </w:rPr>
        <w:t>OPIS</w:t>
      </w:r>
      <w:r w:rsidRPr="0039653D">
        <w:rPr>
          <w:rFonts w:asciiTheme="minorHAnsi" w:hAnsiTheme="minorHAnsi" w:cstheme="minorHAnsi"/>
          <w:b/>
        </w:rPr>
        <w:t>EM</w:t>
      </w:r>
      <w:r w:rsidR="00862C16" w:rsidRPr="0039653D">
        <w:rPr>
          <w:rFonts w:asciiTheme="minorHAnsi" w:hAnsiTheme="minorHAnsi" w:cstheme="minorHAnsi"/>
          <w:b/>
        </w:rPr>
        <w:t xml:space="preserve"> PRZEDMIOTU ZAMÓWIENIA        </w:t>
      </w:r>
    </w:p>
    <w:p w14:paraId="3B51F9AB" w14:textId="01156F30" w:rsidR="005E5E84" w:rsidRPr="0039653D" w:rsidRDefault="005E5E84" w:rsidP="005E5E84">
      <w:pPr>
        <w:pStyle w:val="Tekstpodstawowy"/>
        <w:spacing w:after="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9653D">
        <w:rPr>
          <w:rFonts w:asciiTheme="minorHAnsi" w:hAnsiTheme="minorHAnsi" w:cstheme="minorHAnsi"/>
          <w:b/>
          <w:bCs/>
          <w:sz w:val="22"/>
          <w:szCs w:val="22"/>
        </w:rPr>
        <w:t>W odpowiedzi na ogłoszenie dotyczące  udzielenia zamówienia publicznego na dostawę odczynników do biologii molekularnej, ZNAK SPRAWY Sz.S.POO.SZP.3810.86.2025, przedstawiamy następującą ofertę:</w:t>
      </w:r>
    </w:p>
    <w:p w14:paraId="0B5AC2F1" w14:textId="77777777" w:rsidR="00862C16" w:rsidRPr="0039653D" w:rsidRDefault="00862C16" w:rsidP="00862C16">
      <w:pPr>
        <w:rPr>
          <w:rFonts w:asciiTheme="minorHAnsi" w:hAnsiTheme="minorHAnsi" w:cstheme="minorHAnsi"/>
          <w:i/>
        </w:rPr>
      </w:pPr>
    </w:p>
    <w:p w14:paraId="33F53C1E" w14:textId="77777777" w:rsidR="00862C16" w:rsidRPr="0039653D" w:rsidRDefault="00862C16" w:rsidP="00862C16">
      <w:pPr>
        <w:rPr>
          <w:rFonts w:asciiTheme="minorHAnsi" w:hAnsiTheme="minorHAnsi" w:cstheme="minorHAnsi"/>
          <w:b/>
          <w:i/>
        </w:rPr>
      </w:pPr>
    </w:p>
    <w:p w14:paraId="621016F3" w14:textId="5658E06B" w:rsidR="00862C16" w:rsidRPr="0039653D" w:rsidRDefault="00862C16" w:rsidP="00862C1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9653D">
        <w:rPr>
          <w:rFonts w:asciiTheme="minorHAnsi" w:hAnsiTheme="minorHAnsi" w:cstheme="minorHAnsi"/>
          <w:b/>
          <w:i/>
        </w:rPr>
        <w:t>Nazwa: wykaz odczynników i materiałów zużywalnych do wykonywania sekwencjonowania NGS i sekwencjonowania kapilarnego na aparatach ION TORRENT S5 i 3500</w:t>
      </w:r>
      <w:r w:rsidR="004E21DC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39653D">
        <w:rPr>
          <w:rFonts w:asciiTheme="minorHAnsi" w:hAnsiTheme="minorHAnsi" w:cstheme="minorHAnsi"/>
          <w:b/>
          <w:i/>
        </w:rPr>
        <w:t>Genetic</w:t>
      </w:r>
      <w:proofErr w:type="spellEnd"/>
      <w:r w:rsidRPr="0039653D">
        <w:rPr>
          <w:rFonts w:asciiTheme="minorHAnsi" w:hAnsiTheme="minorHAnsi" w:cstheme="minorHAnsi"/>
          <w:b/>
          <w:i/>
        </w:rPr>
        <w:t xml:space="preserve"> Analyzer.</w:t>
      </w:r>
    </w:p>
    <w:tbl>
      <w:tblPr>
        <w:tblpPr w:leftFromText="141" w:rightFromText="141" w:horzAnchor="margin" w:tblpXSpec="center" w:tblpY="-900"/>
        <w:tblW w:w="1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658"/>
        <w:gridCol w:w="677"/>
        <w:gridCol w:w="1417"/>
        <w:gridCol w:w="1134"/>
        <w:gridCol w:w="851"/>
        <w:gridCol w:w="1275"/>
        <w:gridCol w:w="3479"/>
      </w:tblGrid>
      <w:tr w:rsidR="002C5230" w:rsidRPr="00E008A9" w14:paraId="29BE1A6E" w14:textId="77777777" w:rsidTr="007B7889">
        <w:trPr>
          <w:trHeight w:val="2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4D502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lastRenderedPageBreak/>
              <w:t>L.p.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07D264" w14:textId="77777777" w:rsidR="002C5230" w:rsidRPr="00E008A9" w:rsidRDefault="002C5230" w:rsidP="00A44E12">
            <w:pPr>
              <w:ind w:left="-809" w:firstLine="809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Opis przedmiotu zamówienia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1EF5F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j.m.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6B891D" w14:textId="7820CE3D" w:rsidR="002C5230" w:rsidRPr="00165A38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165A38">
              <w:rPr>
                <w:rFonts w:asciiTheme="minorHAnsi" w:hAnsiTheme="minorHAnsi" w:cstheme="minorHAnsi"/>
                <w:b/>
                <w:i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3EAD31" w14:textId="0558A2D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Cena jednostkowa netto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871249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D53A23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VAT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240C5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Wartość brutto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FAEF6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E008A9">
              <w:rPr>
                <w:rFonts w:asciiTheme="minorHAnsi" w:hAnsiTheme="minorHAnsi" w:cstheme="minorHAnsi"/>
                <w:b/>
                <w:i/>
              </w:rPr>
              <w:t>Typ (nazwa, numer katalogowy) /producent/wielkość opakowania (uwaga jeśli zestaw składa się z kilku elementów oddzielnie katalogowanych należy podać wszystkie numery katalogowe) podać wszystkie produkty mieszczące się w ofercie</w:t>
            </w:r>
          </w:p>
        </w:tc>
      </w:tr>
      <w:tr w:rsidR="002C5230" w:rsidRPr="00E008A9" w14:paraId="525F46D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BEA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24E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Odwrotna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Transkryptaza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Zapewnia odporności na inhibitory, wysoką wydajność i szybkości reakcji, przy zwiększonej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termostabilności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wysoce wydajnej syntezie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cDNA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pełnej długości i zmniejszonej aktywności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Zestaw zawiera wszystkie elementy potrzebne do reakcji RT, oraz dodatkowy gen i startery kontrolne. Umożliwia przeprowadzenie minimum 50 reakcji.</w:t>
            </w:r>
          </w:p>
          <w:p w14:paraId="02A04F2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11D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219" w14:textId="6B6CDB8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E34" w14:textId="1C77FF2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0B9" w14:textId="6495D31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831" w14:textId="51DE9F6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F02" w14:textId="0CB9E04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3D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21AFA0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86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8A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Zrekombinowany inhibitor rybonukleazy takiej jak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 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RNaza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C. stosowany w celu uniknięcia degradacji RNA w różnych zastosowaniach. W postaci białka o masie cząsteczkowej ~ 52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kDa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minimum 5000 jednostek</w:t>
            </w:r>
          </w:p>
          <w:p w14:paraId="76DACC11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917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590" w14:textId="0874E41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B5D" w14:textId="7EE2ABE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957" w14:textId="35A0F80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E2E" w14:textId="64A1FE2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0CE" w14:textId="5A114C1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DD5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139607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8036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A05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reakcji PCR spełniający warunki protokołu reakcji PCR, zawierający czynnik „wzmacniający” umożliwiający amplifikację trudnych matryc z wysoką zawartością par GC. Zestaw zawiera: zrekombinowaną,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termostabilną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polimerazę, dodatkowo oczyszczaną, zoptymalizowany bufor PCR, MgCl2 oraz czynnik wzmacniający, 250U enzymu</w:t>
            </w:r>
          </w:p>
          <w:p w14:paraId="475AD64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22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726" w14:textId="7940421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769" w14:textId="7024627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420" w14:textId="6ED701E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891" w14:textId="634F28A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D75" w14:textId="07E124D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FA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39B83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916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C4C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reakcji PCR spełniający warunki protokołu reakcji PCR, zawierający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termostabilną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polimerazę typu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AmpliTaq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Gold działającą w technologii „Hot Start” lub równoważną, zoptymalizowany bufor PCR, MgCl2. 250U enzymu</w:t>
            </w:r>
          </w:p>
          <w:p w14:paraId="7FD4882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580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806" w14:textId="3133D62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AC6" w14:textId="71D640D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C44" w14:textId="46A3A09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A7B" w14:textId="6217D06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8FE" w14:textId="318F50B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69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DC87709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20D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E39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umożliwiający fluorymetryczny pomiar stężenia DNA co najmniej w zakresie od 10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/ul do 100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/ul. Odczynnik kompatybilny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fluorymetremQubit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Zestaw na co najmniej  500 oznaczeń. </w:t>
            </w:r>
          </w:p>
          <w:p w14:paraId="77502CD7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2B6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23" w14:textId="691BD00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8EA" w14:textId="70E086B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103" w14:textId="292F0D1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F49" w14:textId="5F6E653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C47" w14:textId="3BF920D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19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C7C7E1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02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AA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Enzym restrykcyjny E321(Eco32I) – miejsce trawienia :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5'     G   A   T ↓ A   T   C     3' 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, optymalna temperatura reakcji 37 st. C, szybkie trawienie produktów 5-15 min. , odczynnik na 200 reakcji.</w:t>
            </w:r>
          </w:p>
          <w:p w14:paraId="64C65C82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C30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342" w14:textId="69CD32FF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161" w14:textId="41528C8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E47" w14:textId="6CFAD52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40B" w14:textId="0838254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359" w14:textId="3D267A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6D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10A7E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81E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B90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Enzym restrykcyjny E321(Eco32I) – miejsce trawienia :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5'     G   A   T ↓ A   T   C     3' 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, optymalna temperatura reakcji 37 st. C,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steżenie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10U/ul, . , odczynnik na 2000 jednostek.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B1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197" w14:textId="002A571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2B1" w14:textId="02B4E5C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2F2" w14:textId="7365F92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52A" w14:textId="67B3AFA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1A2" w14:textId="6860E16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AD7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D21F15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15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E6E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10mM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dNTP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Mix, Wodny roztwór 4 nukleotydów, każdy po 10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czystość powyżej 99%, ilość 1 ml.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35B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A01" w14:textId="735C3A9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A9D" w14:textId="364CEDF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F04" w14:textId="16FA822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819" w14:textId="63C851E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109" w14:textId="5D60C09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AD4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CB06C2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53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025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10 płytek w opakowaniu.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CF9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4A0" w14:textId="2B1D6BE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F50" w14:textId="0E5C835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1FD" w14:textId="6B9FFD7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F8D" w14:textId="7B64F8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97D" w14:textId="307B0B1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5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CF000E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057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720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wykonane z polipropylenu, nie oznaczone kodem kreskowym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10 płytek w opakowaniu.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C29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A8" w14:textId="22C1484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AAF" w14:textId="0783601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DE1" w14:textId="4C529E8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691" w14:textId="2DD12A5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CBF" w14:textId="7E5213D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D9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9F0A2A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89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12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oznaczone kodem kreskowym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20 płytek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594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ABF" w14:textId="6BFF5B1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B19" w14:textId="362A25B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629" w14:textId="6B05431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1D5" w14:textId="07B94E8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865" w14:textId="2E838CB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9B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9C02BA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D275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8F6B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0,1 ml. Płytki 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200 płytek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F8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984" w14:textId="3E57104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B1F" w14:textId="07E141A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DFB" w14:textId="36E5EE3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604" w14:textId="4434C13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D82" w14:textId="1D7C4A2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6F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989691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EE6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DB7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Optyczne pokrywy adhezyjne do przeprowadzania reakcji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RealTime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PCR, 100 folii w opakowaniu.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D3E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333" w14:textId="3411D2D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834" w14:textId="0199FE1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160" w14:textId="6B56430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B96" w14:textId="3A80695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FEC" w14:textId="5EF3654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2FE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4E43EA6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03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04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Płytka 96-dołkowa. Pojemność pojedynczego dołka równa 0,1 ml. Odczynniki do przeprowadzenia kalibracji spektralnej dla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 dla barwników fluorescencyjnych FAM, VIC, ROX, SYBR.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D65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020" w14:textId="2AD34DA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99E" w14:textId="570E454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FD6" w14:textId="1588F45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2D9" w14:textId="0687746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D35" w14:textId="02C2CEE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3F2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829B03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47F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8FAB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Płytka 96-dołkowa.  Pojemność pojedynczego dołka równa 0,1 ml. Odczynniki do przeprowadzenia kalibracji spektralnej dla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 dla barwników fluorescencyjnych TAMRA, NED, Cy5.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3F8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8FE" w14:textId="0757436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E48" w14:textId="30D4476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188" w14:textId="61931B6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BEC" w14:textId="2A24D1D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B71" w14:textId="4625907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EA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4E806D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E1A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0B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Master Mix w formacie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premixu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2X zawierającego polimerazę DNA o parametrach nie gorszych niż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AmpliTaq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Gold,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glikozylazę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uracyl-DNA,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dNTPs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dUTP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barwnik referencyjny ROX oraz bufor. Odczynnik musi być komplementarny z aparatem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QuantStudio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5. Dostarczona ilość musi być wystarczająca na 200 reakcji w objętości 50 µl.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C0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F63" w14:textId="39C0CB2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69" w14:textId="02713E2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17F" w14:textId="4BE9807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772" w14:textId="73F6536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71A" w14:textId="198A915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CF7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B53C55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4F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9D5" w14:textId="46C3EC39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pozwalający na sekwencjonowanie NGS genów BRCA1/2 z wykorzystaniem technologii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IonTorrent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automatycznym przygotowaniem bibliotek na platformie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wystarczający na analizę 32 próbek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E2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5D1" w14:textId="343EC57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323" w14:textId="219FE70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777" w14:textId="6FECB5F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172" w14:textId="4C36DDE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B7F" w14:textId="20DCA87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55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CF23B5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56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7A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pozwalający na sekwencjonowanie NGS genów BRCA1/2 z wykorzystaniem technologii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IonTorrent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manualnym przygotowaniem biblioteki.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A52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638" w14:textId="654A1528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A8A" w14:textId="62A1CE1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CE3" w14:textId="3042ABB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67B" w14:textId="56F5D6E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362" w14:textId="403BF36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10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C521D5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3D1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9C1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 dokładne i powtarzalne przygotowanie matrycy, ładowanie nośników oraz sekwencjonowanie do 200 bp bibliotek w systemie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™dla aparatów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S5 / S5 XL. Zestaw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510/520/530 ™ zawiera odczynniki do przygotowania matrycy i sekwencjonowania 8 nośników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510TM ,520 ™ lub 530 ™. Zestaw umożliwiający sekwencjonowanie 2 chipów na 1 inicjalizację.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D3C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3C3" w14:textId="21B4976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B3AA" w14:textId="633A8431" w:rsidR="002C5230" w:rsidRPr="00E42F67" w:rsidRDefault="002C5230" w:rsidP="00A44E12">
            <w:pPr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6E2" w14:textId="342F6EE1" w:rsidR="002C5230" w:rsidRPr="00E42F67" w:rsidRDefault="002C5230" w:rsidP="00A44E12">
            <w:pPr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C1F" w14:textId="2F92F78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9F1" w14:textId="062E0C1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3B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1123D9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4A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8D8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umożliwiający dokładne i powtarzalne przygotowanie matrycy, ładowanie nośników oraz sekwencjonowanie do 200 bp bibliotek w systemie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™dla aparatów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S5 / S5 XL. Zestaw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510/520/530 ™ zawiera odczynniki do przygotowania matrycy i sekwencjonowania 8 nośników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510TM ,520 ™ lub 530 ™. Zestaw umożliwiający sekwencjonowanie 1 chipa na 1 inicjalizację.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A7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6AF" w14:textId="28219F8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73E" w14:textId="0DAA624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7A6" w14:textId="1EA9295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1C8" w14:textId="3356A94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B29" w14:textId="75575B4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B87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E09BB1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AEB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686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do 3 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B01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7ED" w14:textId="2CF154E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BC6" w14:textId="7A3E095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9A5" w14:textId="61BEAF4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A0E" w14:textId="6D75F82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020" w14:textId="7C4490D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20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A71AFE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BEF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FB8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4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3-5Mln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68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33A" w14:textId="41532CD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2FD" w14:textId="25864E4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176" w14:textId="77AD6D6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5A2" w14:textId="76CED42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28E" w14:textId="15263BBF" w:rsidR="002C5230" w:rsidRPr="00E008A9" w:rsidRDefault="002C5230" w:rsidP="00A44E12">
            <w:pPr>
              <w:tabs>
                <w:tab w:val="left" w:pos="735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F1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2B5A18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331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26A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3-6Mln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26C5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B7F" w14:textId="2EEBDE71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D75" w14:textId="5BFAD4D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994" w14:textId="08B08A3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811" w14:textId="5F1D78C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432" w14:textId="7994DE3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AE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D953BF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579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0177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15-20 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0241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79" w14:textId="7AA2EB3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155" w14:textId="3994043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D64" w14:textId="2F64C23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20E" w14:textId="402D92C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CED" w14:textId="392449B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1C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1228B2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F43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473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8 nośników dedykowanych do pracy 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sekwenatorem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następnej generacji w oparciu o metodę półprzewodnikową, o przepustowości 60-80Mln odczytów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86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E17" w14:textId="5725F0C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C10" w14:textId="2D6221C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6C0" w14:textId="073C20D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B6B" w14:textId="3A73CAE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67F" w14:textId="4E053FF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54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966B91C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9796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1A5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umożliwiający dokładne i powtarzalne przygotowanie matrycy, ładowanie nośników oraz sekwencjonowanie do 200 bp bibliotek w systemie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™dla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aparatówjIon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S5 / S5 XL. Zestaw zawiera odczynniki do przygotowania matrycy i sekwencjonowania 8 nośników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540 ™. Zestaw umożliwiający sekwencjonowanie 2 chipów na 1 inicjalizację.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14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03F" w14:textId="7A964C88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5C5" w14:textId="5A7E9BF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8F4" w14:textId="784C854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FEF" w14:textId="09435CD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EC1" w14:textId="405B4A6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E2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54EBD2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379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B20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Zestaw do normalizacji bibliotek przed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emPCR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z wykorzystaniem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qPCR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zgodny z  Personal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Genome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Machine™ System . Umożliwiający przeprowadzenie 250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B101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A5A" w14:textId="13A5003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6CE" w14:textId="6A7A869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A4F" w14:textId="6B82AF9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1DC" w14:textId="1E2AD03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3BE" w14:textId="7F4F3ED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38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0373C1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5F7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7FB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Cienkościenne, nieaktywne optycznie probówki o pojemności 0,5 ml wykonane z polipropylenu. Probówki  kompatybilne z aparatem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Qubit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4. 500 sztuk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83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63C" w14:textId="426CC53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805" w14:textId="5A1C0AE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FAC" w14:textId="18A9214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ABF" w14:textId="03F2E78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C2C" w14:textId="51995F8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2F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307DBD2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9465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CB51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 207 modyfikowanych par starterów pokrywających ok. 2800 mutacji COSMIC pochodzących z 50 onkogenów i genów supresji komórek nowotworowych. Umożliwia przeprowadzenie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EED7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F21" w14:textId="61D79930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634" w14:textId="13E7E10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5BA" w14:textId="6AB85AC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C6E" w14:textId="179C857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C53" w14:textId="69B9CA8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95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4F3E8D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5462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12A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oznaczeń NGS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wolnokrążącego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DNA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cfDNA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z plazmy lub pełnej krwi - zmian nukleotydowych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indeli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dla genów NSCLC (11 genów (ALK, BRAF, EGFR, ERBB2, KRAS, MAP2K1, MET, NRAS, PIK3CA, ROS1, and TP53) i &gt;150 mutacji. Umożliwia przeprowadzenie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B0A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8BD" w14:textId="271CB31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501" w14:textId="024717D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2EE" w14:textId="4DA4BB6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DD0" w14:textId="6F132CA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707" w14:textId="5ACC6A3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F7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33CB7C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0C5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96A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oznaczeń NGS dla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cfDNA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nowotworach jelita grubego.  14 genów (AKT1, BRAF, CTNNB1, EGFR, ERBB2, FBXW7, GNAS, KRAS, MAP2K1, NRAS, PIK3CA, MAD4, TP53, APC) i  &gt;240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hotspotów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Umożliwia przeprowadzenie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B38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CD8" w14:textId="130F150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4D8" w14:textId="7EE1289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A47" w14:textId="6B7D19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0A5" w14:textId="3A550A6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E2A" w14:textId="2C7FB52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23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61BFD1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B8B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9B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Gotowy zestaw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primerów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odczynników  niezbędnych do przygotowania bibliotek z wykorzystaniem systemu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Umożliwiający przeprowadzenie 32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23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023" w14:textId="44A5A22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72E" w14:textId="14596D0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0CA" w14:textId="25292A0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E3F" w14:textId="79F0C7A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10F" w14:textId="1CA4D0F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50E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44CE0A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ACB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85C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starterów dla dowolnych 51-300 genów, umożliwiający ręczne przygotowanie biblioteki dla aplikacji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tożsamej. Umożliwiający przeprowadzenie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240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32B" w14:textId="6742E34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817" w14:textId="504956D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53D" w14:textId="57C418C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206" w14:textId="5E5AADA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C9A" w14:textId="0996197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36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A4F586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77FC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D34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starterów dla dowolnych 1-50 genów, umożliwiający ręczne przygotowanie biblioteki dla aplikacji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tożsamej. Umożliwiający przeprowadzenie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86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52E" w14:textId="4613C5F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FC0" w14:textId="03A4630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76F" w14:textId="0626816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705" w14:textId="19AC683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F69" w14:textId="723FEE7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BC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67C6110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4C3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3FE5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pozwalający na automatyczne przygotowanie 32 bibliotek z użyciem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IonChef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System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12F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E23" w14:textId="7F9DC7E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5F1" w14:textId="11D4540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F24" w14:textId="3DBA823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196" w14:textId="6A46EB3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23C" w14:textId="32B5248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138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8511062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760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EFB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pozwalających  na amplifikację oraz przygotowanie bibliotek 8 DNA pracujących  w technologii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8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09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D86" w14:textId="630BC85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B92" w14:textId="07F5ED0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FD8" w14:textId="6E1DAE3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6F7" w14:textId="740B3C8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EE0" w14:textId="3171C12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33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03DB0F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57F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985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do przygotowania bibliotek z wykorzystaniem paneli typu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24 reakcje, kompatybilny ze starterami do przygotowania biblioteki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Oncomine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BRCA.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EDC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4EE" w14:textId="6E0A713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792" w14:textId="187D75F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490" w14:textId="3A4DD9D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123" w14:textId="7F7EB0B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A0C" w14:textId="5B023A2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28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38FEC3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7349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78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Zestaw16 (1-16) unikalnych sekwencji -etykiet markerowych pozwalających na przygotowanie reakcji multipleksowych - 160 reakcji na 16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plexgDNA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504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A82" w14:textId="21A72108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141" w14:textId="734F71C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EE8" w14:textId="6547D09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162" w14:textId="3A262AE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40A" w14:textId="6D1E300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2D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127042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D1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FE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Zestaw16 </w:t>
            </w: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(33-48)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unikalnych sekwencji -etykiet markerowych pozwalających na przygotowanie reakcji multipleksowych - 160 reakcji na 16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plexgDNA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CB0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81D" w14:textId="23AAEAB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BF3" w14:textId="57B31E3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046" w14:textId="4976EFC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C7D" w14:textId="3CEF756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D95" w14:textId="66D9647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37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C15B3F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EF4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628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do przygotowania bibliotek typu fragmentacji- 10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rxn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299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4DC" w14:textId="680181A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F3A" w14:textId="42CBC50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226" w14:textId="4A37605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9A0" w14:textId="1341466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CFB" w14:textId="6414F67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5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B748CE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C98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FB7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kapilar 3500 Instrument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CapillaryArray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8 x 50 cm, stanowiący integralną, zużywalną część wyposażenia posiadanego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3500scalony zestaw 8 kapilar wewnętrznie niepowlekanych, z jednym oknem odczytu, o długości 50 cm, gwarantujący prawidłowość elektroforetycznych rozdziałów fragmentów DNA- konfekcjonowany fabrycznie, 1 sztuka (zestaw)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DF5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5C3" w14:textId="20B55A8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F8C" w14:textId="6856F6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A41" w14:textId="6406416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286" w14:textId="3F9F798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062" w14:textId="3F1FBCE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A68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AEB72D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036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95C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Pojemnik z buforem anodowym dedykowany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1F6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1766" w14:textId="266B4C3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285" w14:textId="2B10122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784" w14:textId="440BB2A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C90" w14:textId="4B2E234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9CF" w14:textId="4F4CAA4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A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7D2D0C0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013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586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Pojemnik z buforem katodowym dedykowany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EF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44E" w14:textId="1FF7D46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6DC" w14:textId="730C6FB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34B" w14:textId="40A4D3C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5E1" w14:textId="52DB42F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4AC" w14:textId="55EBD1C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5D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2875B98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E2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23D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Gotowy do użycia odczynnik stosowany do przygotowania i przemywania pompy polimeru w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stosowany w pompie przy zmianie polimeru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-w opakowaniu rozpoznawalnym przez system monitorowania czasu pracy i daty ważności odczynników (RFID - Radio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FrequencyIdentification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7967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29E" w14:textId="733BC2A4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922" w14:textId="6074496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99F" w14:textId="3EF1871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4BB" w14:textId="024F801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354" w14:textId="77777777" w:rsidR="002C5230" w:rsidRPr="00C14716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9C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985320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9ED2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DED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Polimer do elektroforezy POP-7 Performance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Optimized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 3500 Series: gotowy do użycia, o własnościach spełniających wymagania elektroforezy kapilarnej w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uniwersalny, optymalizowany do użycia w analizach fragmentów jak i sekwencjonowania krótkich i długich fragmentów na analizatorze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konfekcjonowany fabrycznie, w opakowaniu rozpoznawalnym przez system monitorowania czasu pracy i daty ważności odczynników (RFID - Radio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FrequencyIdentification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pozwalający na przeprowadzenie do 96 analiz po zainstalowaniu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B8CC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8E5" w14:textId="6275072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53A" w14:textId="44D5A2C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A26" w14:textId="403CE5E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99F7" w14:textId="6F2381F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0FA" w14:textId="77777777" w:rsidR="002C5230" w:rsidRPr="00FD0875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4F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29C8E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BEE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DD9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Polimer do elektroforezy POP-7 Performance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Optimized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Polimer 3500 Series: gotowy do użycia, o własnościach spełniających wymagania elektroforezy kapilarnej w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uniwersalny, optymalizowany do użycia w analizach fragmentów jak i sekwencjonowania krótkich i długich fragmentów na analizatorze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konfekcjonowany fabrycznie, w opakowaniu rozpoznawalnym przez system monitorowania czasu pracy i daty 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ważności odczynników (RFID - Radio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FrequencyIdentification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pozwalający na przeprowadzenie do 384 analiz po zainstalowaniu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24A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C4A2" w14:textId="3EA1644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2B0" w14:textId="1A9D5DC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04E" w14:textId="3C431CE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3D0" w14:textId="4DBF3AE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43D" w14:textId="6560CDA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B30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28AA35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DB83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FC9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3500/3500xL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SequencingStandards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™ Terminator v1.1 lub równoważny: Zestaw zawierający standard umożliwiający kalibrację spektralną dla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dla chemii reakcyjnej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1.1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</w:t>
            </w:r>
          </w:p>
          <w:p w14:paraId="39143E90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E5C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C8F" w14:textId="5091A9B9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F7D" w14:textId="513B41C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16E" w14:textId="2A3E70E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CB2" w14:textId="31E145C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312" w14:textId="2FA6ED1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267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6E6C08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810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54E0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1.1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E0E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7F6" w14:textId="7F29108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8F0" w14:textId="02AF7C6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0919" w14:textId="6BEDCF2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BF1" w14:textId="0E04DF0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772" w14:textId="035C7BC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16A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685E2F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87C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FEF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1.1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4F3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372" w14:textId="656CABB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1D4" w14:textId="5123A93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B07" w14:textId="731FE84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C81" w14:textId="7F30184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D35" w14:textId="2AD9C38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D4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3950F4C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E6F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0432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3.1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EA46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2BC" w14:textId="15056C9F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927D" w14:textId="36686EE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19C" w14:textId="01A2CB4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375" w14:textId="2EE0D04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E07" w14:textId="23BD43D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2F2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53E8713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D248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96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5x stężony bufor do rozcieńczania próbki do sekwencjonowania – konfekcjonowany fabrycznie w opakowaniu 1 ml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0DB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594" w14:textId="79CD280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272" w14:textId="6D6B58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4E9" w14:textId="573D093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303" w14:textId="2B6B879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C68" w14:textId="2E165FF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BBD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C278185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F94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AC2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niezbędnych do oczyszczenia DNA po sekwencjonowaniu  usuwający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niewinkorporowaneBigDye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® Terminatory. Zestaw na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FCB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746" w14:textId="0CBB4B7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1F7" w14:textId="0B8BA93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0CA" w14:textId="5803B33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9FA" w14:textId="3E65874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86F" w14:textId="7BC7E33D" w:rsidR="002C5230" w:rsidRPr="00E008A9" w:rsidRDefault="002C5230" w:rsidP="00A44E12">
            <w:pPr>
              <w:tabs>
                <w:tab w:val="left" w:pos="825"/>
              </w:tabs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148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1BC66B6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A76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FD5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Formamid Hi-Di (wysoko dejonizowany):o przewodnictwie poniżej 30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stosowany w biologii molekularnej, w procesie elektroforetycznego rozdziału fragmentów DNA w warunkach denaturujących,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gwarantujący prawidłowość rozdziału zdenaturowanych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optycznie neutralny,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konfekcjonowany w opakowaniu 25ml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2A00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BA5" w14:textId="6F53C21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96D" w14:textId="79CEA14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24E" w14:textId="314DE2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DA7" w14:textId="57D569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F46" w14:textId="53935FF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0C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E6E4E31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1B39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4203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Zabezpieczenie gumowe do buforu katodowego, jednokrotnego użytku do aparatu genetycznego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10 sztuk.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1A9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578" w14:textId="7B4AEF8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1478" w14:textId="600D064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1637" w14:textId="6FFC3F7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E8E" w14:textId="772C0D0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EBB" w14:textId="4D6357C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34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72A664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B92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0DDA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Zabezpieczenie gumowe na płytki 96-dołkowe do sekwencjonowania kapilarnego, jednokrotnego użytku do aparatu genetycznego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10 sztuk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78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C88" w14:textId="04D33CC0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FBE" w14:textId="1D85557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CF2" w14:textId="4C50BD7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058" w14:textId="491F2EB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767" w14:textId="38E876B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8C9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1222FBBD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49B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256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Formamid Hi-Di (wysoko dejonizowany):o przewodnictwie poniżej 30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stosowany w biologii molekularnej, w procesie elektroforetycznego rozdziału fragmentów DNA w warunkach denaturujących,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gwarantujący prawidłowość rozdziału zdenaturowanych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3500, optycznie neutralny,</w:t>
            </w: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konfekcjonowany fabrycznie w 4 tubkach po 5ml każda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49E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19A" w14:textId="36CE423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FF" w14:textId="7A4F5BA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9C6" w14:textId="3F1F20E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D5A" w14:textId="56F2E3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92A" w14:textId="2A2E8D6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76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7D3EDAF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300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DA2E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GeneScan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600 LIZ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Size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Standard v2.0- lub równoważny barwnik fluorescencyjny wykorzystywany do analizy fragmentów 20-600 bp, dedykowany do aparatu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 3500 Applied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Biosystems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Odczynnik na 800 reakcji.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FBC9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846" w14:textId="21CF98E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02E" w14:textId="7BC5035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4D9" w14:textId="7A3891E4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E08" w14:textId="02365A7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D63" w14:textId="77777777" w:rsidR="002C5230" w:rsidRPr="00744D8E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5C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DD9FB9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10F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9F84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amplifikacji/PCR  z pozostałości starterów oraz wolnych nukleotydów, Odczynnik oczyszczający w trybie szybkim do 5 min. , zestaw na 100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A1D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BC6" w14:textId="342A2DCA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E56" w14:textId="47F5F5F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332" w14:textId="01B5A18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79B9" w14:textId="4B2C689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88B" w14:textId="6174715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806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2EE2D6E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347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48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  z pozostałości starterów oraz wolnych nukleotydów, zestaw na 100 reakcji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0582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6CD" w14:textId="512B5D9F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2E8" w14:textId="56CFA09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23D" w14:textId="1AED50C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4B3" w14:textId="1468FE3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0BE" w14:textId="77777777" w:rsidR="002C5230" w:rsidRPr="006B775D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50B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5803F818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4EA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5137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amplifikacji/PCR  z pozostałości starterów oraz wolnych nukleotydów, zestaw na 500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B44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B90" w14:textId="07B3824B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25B" w14:textId="2716274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525" w14:textId="6ECB02EF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5E0" w14:textId="3C539D6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D5F" w14:textId="5E4947C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E09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EE1CFAB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8F0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D9D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Płytki 96-dołkowe oznaczone kodem kreskowym wykonane z polipropylenu, nieaktywne optycznie, nie wykazujące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autofluorescencji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Pojemność pojedynczego dołka równa 0,2 ml. Płytki  do aparatu 3500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Analyzer,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veriti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SimpliAmp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20 płytek w opakowaniu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BB98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07D" w14:textId="0C9A2F7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074" w14:textId="0F0FD2B5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7AB" w14:textId="215CA48C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9AE" w14:textId="55B5251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F35" w14:textId="173B36E1" w:rsidR="002C5230" w:rsidRPr="006B775D" w:rsidRDefault="002C5230" w:rsidP="00A44E12">
            <w:pPr>
              <w:tabs>
                <w:tab w:val="left" w:pos="7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10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BC8CE7C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CC0E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1584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BigDye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Terminator V 3.1 Redy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Reaction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CycleSequencing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Kit  lub równoważny: Zestaw o własnościach spełniających wymagania elektroforezy kapilarnej fragmentów DNA w posiadanym aparacie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GeneticAnalyser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3500 Zestaw umożliwiający reakcję sekwencjonowania długich fragmentów. Konfekcjonowany fabrycznie, wystarczający na przyprowadzenie 24 reakcji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063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DC9" w14:textId="121AE4B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014" w14:textId="0F6C881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1A8" w14:textId="7BEEEADD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22F" w14:textId="6922ED1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361" w14:textId="77777777" w:rsidR="002C5230" w:rsidRPr="006B775D" w:rsidRDefault="002C5230" w:rsidP="00A4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A1F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3D8BBFA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3FDD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F2CC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Odczynnik enzymatyczny (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egzonukleza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alkaliczna fosfataza) umożliwiający oczyszczanie próbek po reakcji amplifikacji  z pozostałości starterów oraz wolnych nukleotydów, Odczynnik oczyszczający w trybie szybkim do 5 min. , zestaw na 500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836E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423" w14:textId="2CC5BC3E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30A" w14:textId="1156A349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034" w14:textId="3555B89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879" w14:textId="3CEEEF0E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DEC" w14:textId="19B7D83A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08C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6FB93589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361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66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347F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starterów dla  1-30 genów wykorzystywanych do wykrywania mutacji w nowotworach, umożliwiający ręczne przygotowanie biblioteki dla aplikacji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tożsamej. Umożliwiający przeprowadzenie 24 reakcji.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D82F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8C0" w14:textId="38D355FD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356" w14:textId="26B6EA8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E8A" w14:textId="7E478080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4DF" w14:textId="56C27D23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675" w14:textId="292A4C6B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902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08A734F7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15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2DD" w14:textId="77777777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odczynników do przygotowania bibliotek z wykorzystaniem paneli typu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Ampliseq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 24 reakcje, kompatybilny ze starterami do przygotowania biblioteki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Oncomine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™ tumor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panels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1D2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4E6" w14:textId="135DD562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F7D" w14:textId="6A9DF351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FC6" w14:textId="69C96E7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851" w14:textId="6CA75088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8CA" w14:textId="2DB750E6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485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43D39A28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89F" w14:textId="77777777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AC6" w14:textId="77777777" w:rsidR="002C5230" w:rsidRPr="005138F4" w:rsidRDefault="002C5230" w:rsidP="00A44E12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Panel ginekologiczny do 30 genów, modyfikowany do potrzeb badania endometrium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4EA" w14:textId="77777777" w:rsidR="002C5230" w:rsidRPr="005138F4" w:rsidRDefault="002C5230" w:rsidP="00A44E12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DFE" w14:textId="6C2053BC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F05" w14:textId="4AA1D9AA" w:rsidR="002C5230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953" w14:textId="18E8CDC4" w:rsidR="002C5230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C13" w14:textId="1F339506" w:rsidR="002C5230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CFE" w14:textId="55B86CD2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691" w14:textId="77777777" w:rsidR="002C5230" w:rsidRPr="00E008A9" w:rsidRDefault="002C5230" w:rsidP="00A44E1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C5230" w:rsidRPr="00E008A9" w14:paraId="2058E657" w14:textId="77777777" w:rsidTr="007B78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28D" w14:textId="6A8A6E56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120" w14:textId="4A2ACA29" w:rsidR="002C5230" w:rsidRPr="005138F4" w:rsidRDefault="002C5230" w:rsidP="00A44E1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Zestaw umożliwiający fluorymetryczny pomiar stężenia RNA co najmniej w zakresie od 10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pg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/ul do 100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/ul. Odczynnik kompatybilny z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fluorymetrem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Qubit</w:t>
            </w:r>
            <w:proofErr w:type="spellEnd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 xml:space="preserve">. Zestaw na co najmniej  100 oznaczeń.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3A9" w14:textId="4FE402DD" w:rsidR="002C5230" w:rsidRPr="005138F4" w:rsidRDefault="002C5230" w:rsidP="00A44E12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38F4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5B5" w14:textId="5BB7D193" w:rsidR="002C5230" w:rsidRPr="005138F4" w:rsidRDefault="002C5230" w:rsidP="00A44E12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138F4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2E9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C89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015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714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EC0" w14:textId="77777777" w:rsidR="002C5230" w:rsidRPr="00547B38" w:rsidRDefault="002C5230" w:rsidP="00A44E12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56B80BE3" w14:textId="77777777" w:rsidR="005138F4" w:rsidRDefault="005138F4" w:rsidP="00541C5A">
      <w:pPr>
        <w:pStyle w:val="Bezodstpw"/>
        <w:ind w:hanging="85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FF2FB9" w14:textId="6A6FCA89" w:rsidR="00541C5A" w:rsidRPr="00541C5A" w:rsidRDefault="00541C5A" w:rsidP="00541C5A">
      <w:pPr>
        <w:pStyle w:val="Bezodstpw"/>
        <w:ind w:hanging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1C5A">
        <w:rPr>
          <w:rFonts w:asciiTheme="minorHAnsi" w:hAnsiTheme="minorHAnsi" w:cstheme="minorHAnsi"/>
          <w:b/>
          <w:sz w:val="24"/>
          <w:szCs w:val="24"/>
        </w:rPr>
        <w:t xml:space="preserve">Odczynniki przydatne do użycia w okresie minimum </w:t>
      </w:r>
      <w:r w:rsidR="00F75982">
        <w:rPr>
          <w:rFonts w:asciiTheme="minorHAnsi" w:hAnsiTheme="minorHAnsi" w:cstheme="minorHAnsi"/>
          <w:b/>
          <w:sz w:val="24"/>
          <w:szCs w:val="24"/>
        </w:rPr>
        <w:t>80 % okresu deklarowanego przez producenta</w:t>
      </w:r>
      <w:r w:rsidRPr="00541C5A">
        <w:rPr>
          <w:rFonts w:asciiTheme="minorHAnsi" w:hAnsiTheme="minorHAnsi" w:cstheme="minorHAnsi"/>
          <w:b/>
          <w:sz w:val="24"/>
          <w:szCs w:val="24"/>
        </w:rPr>
        <w:t xml:space="preserve"> od daty dostarczenia.</w:t>
      </w:r>
    </w:p>
    <w:p w14:paraId="6054D3B8" w14:textId="77777777" w:rsidR="00541C5A" w:rsidRDefault="00541C5A" w:rsidP="00E47FC4">
      <w:pPr>
        <w:pStyle w:val="Bezodstpw"/>
        <w:ind w:hanging="851"/>
        <w:rPr>
          <w:rFonts w:asciiTheme="minorHAnsi" w:hAnsiTheme="minorHAnsi" w:cstheme="minorHAnsi"/>
        </w:rPr>
      </w:pPr>
    </w:p>
    <w:p w14:paraId="3069ABC8" w14:textId="1BBE29BD" w:rsidR="00862C16" w:rsidRPr="00541C5A" w:rsidRDefault="00862C16" w:rsidP="00E47FC4">
      <w:pPr>
        <w:pStyle w:val="Bezodstpw"/>
        <w:ind w:hanging="851"/>
        <w:rPr>
          <w:rFonts w:asciiTheme="minorHAnsi" w:hAnsiTheme="minorHAnsi" w:cstheme="minorHAnsi"/>
          <w:b/>
          <w:sz w:val="24"/>
          <w:szCs w:val="24"/>
        </w:rPr>
      </w:pPr>
      <w:r w:rsidRPr="00541C5A">
        <w:rPr>
          <w:rFonts w:asciiTheme="minorHAnsi" w:hAnsiTheme="minorHAnsi" w:cstheme="minorHAnsi"/>
          <w:b/>
          <w:sz w:val="24"/>
          <w:szCs w:val="24"/>
        </w:rPr>
        <w:t>Termin dostawy: ………………. dni roboczych</w:t>
      </w:r>
      <w:r w:rsidR="006F7765" w:rsidRPr="00541C5A">
        <w:rPr>
          <w:rFonts w:asciiTheme="minorHAnsi" w:hAnsiTheme="minorHAnsi" w:cstheme="minorHAnsi"/>
          <w:b/>
          <w:sz w:val="24"/>
          <w:szCs w:val="24"/>
        </w:rPr>
        <w:t xml:space="preserve"> (max </w:t>
      </w:r>
      <w:r w:rsidR="00541C5A">
        <w:rPr>
          <w:rFonts w:asciiTheme="minorHAnsi" w:hAnsiTheme="minorHAnsi" w:cstheme="minorHAnsi"/>
          <w:b/>
          <w:sz w:val="24"/>
          <w:szCs w:val="24"/>
        </w:rPr>
        <w:t>2</w:t>
      </w:r>
      <w:r w:rsidR="006F7765" w:rsidRPr="00541C5A">
        <w:rPr>
          <w:rFonts w:asciiTheme="minorHAnsi" w:hAnsiTheme="minorHAnsi" w:cstheme="minorHAnsi"/>
          <w:b/>
          <w:sz w:val="24"/>
          <w:szCs w:val="24"/>
        </w:rPr>
        <w:t>5 dni)</w:t>
      </w:r>
      <w:r w:rsidRPr="00541C5A">
        <w:rPr>
          <w:rFonts w:asciiTheme="minorHAnsi" w:hAnsiTheme="minorHAnsi" w:cstheme="minorHAnsi"/>
          <w:b/>
          <w:sz w:val="24"/>
          <w:szCs w:val="24"/>
        </w:rPr>
        <w:t>.</w:t>
      </w:r>
    </w:p>
    <w:p w14:paraId="60EFF0BF" w14:textId="77777777" w:rsidR="00862C16" w:rsidRPr="00E008A9" w:rsidRDefault="00862C16" w:rsidP="00862C16">
      <w:pPr>
        <w:pStyle w:val="Bezodstpw"/>
        <w:rPr>
          <w:rFonts w:asciiTheme="minorHAnsi" w:hAnsiTheme="minorHAnsi" w:cstheme="minorHAnsi"/>
          <w:b/>
        </w:rPr>
      </w:pPr>
    </w:p>
    <w:p w14:paraId="6FF3A819" w14:textId="77777777" w:rsidR="00862C16" w:rsidRPr="00E008A9" w:rsidRDefault="00862C16" w:rsidP="00E47FC4">
      <w:pPr>
        <w:pStyle w:val="Bezodstpw"/>
        <w:ind w:hanging="851"/>
        <w:rPr>
          <w:rFonts w:asciiTheme="minorHAnsi" w:hAnsiTheme="minorHAnsi" w:cstheme="minorHAnsi"/>
          <w:bCs/>
        </w:rPr>
      </w:pPr>
      <w:r w:rsidRPr="00E008A9">
        <w:rPr>
          <w:rFonts w:asciiTheme="minorHAnsi" w:hAnsiTheme="minorHAnsi" w:cstheme="minorHAnsi"/>
          <w:bCs/>
        </w:rPr>
        <w:t>Osoba/y upoważniona/e do kontaktu:</w:t>
      </w:r>
    </w:p>
    <w:p w14:paraId="7184C9AE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……………………………………</w:t>
      </w:r>
    </w:p>
    <w:p w14:paraId="0E3A0922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Nr tel. …………………………….</w:t>
      </w:r>
    </w:p>
    <w:p w14:paraId="637D06A3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Nr fax…………………………….</w:t>
      </w:r>
    </w:p>
    <w:p w14:paraId="4E747846" w14:textId="77777777" w:rsidR="00862C16" w:rsidRPr="00C43B03" w:rsidRDefault="00862C16" w:rsidP="00E47FC4">
      <w:pPr>
        <w:pStyle w:val="Bezodstpw"/>
        <w:ind w:hanging="851"/>
        <w:rPr>
          <w:rFonts w:asciiTheme="minorHAnsi" w:hAnsiTheme="minorHAnsi" w:cstheme="minorHAnsi"/>
          <w:bCs/>
          <w:lang w:val="en-US"/>
        </w:rPr>
      </w:pPr>
      <w:r w:rsidRPr="00C43B03">
        <w:rPr>
          <w:rFonts w:asciiTheme="minorHAnsi" w:hAnsiTheme="minorHAnsi" w:cstheme="minorHAnsi"/>
          <w:bCs/>
          <w:lang w:val="en-US"/>
        </w:rPr>
        <w:t>Mail ……………………………..</w:t>
      </w:r>
    </w:p>
    <w:p w14:paraId="65370632" w14:textId="77777777" w:rsidR="00862C16" w:rsidRPr="00C43B03" w:rsidRDefault="00862C16" w:rsidP="00862C16">
      <w:pPr>
        <w:pStyle w:val="Bezodstpw"/>
        <w:rPr>
          <w:rFonts w:asciiTheme="minorHAnsi" w:hAnsiTheme="minorHAnsi" w:cstheme="minorHAnsi"/>
          <w:bCs/>
          <w:lang w:val="en-US"/>
        </w:rPr>
      </w:pPr>
    </w:p>
    <w:p w14:paraId="1A3F2540" w14:textId="77777777" w:rsidR="00862C16" w:rsidRPr="00E008A9" w:rsidRDefault="00862C16" w:rsidP="00862C16">
      <w:pPr>
        <w:pStyle w:val="Bezodstpw"/>
        <w:rPr>
          <w:rFonts w:asciiTheme="minorHAnsi" w:hAnsiTheme="minorHAnsi" w:cstheme="minorHAnsi"/>
        </w:rPr>
      </w:pPr>
    </w:p>
    <w:p w14:paraId="1EB2701D" w14:textId="77777777" w:rsidR="001E4D9B" w:rsidRPr="001E4D9B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E4D9B">
        <w:rPr>
          <w:rFonts w:asciiTheme="minorHAnsi" w:hAnsiTheme="minorHAnsi" w:cstheme="minorHAnsi"/>
          <w:i/>
          <w:sz w:val="18"/>
          <w:szCs w:val="18"/>
        </w:rPr>
        <w:t>Na potrzeby postępowania o udzielenie zamówienia publicznego oświadczam, że wypełniłem obowiązki informacyjne przewidziane w art. 13 lub art. 14 rozporządzenia Parlamentu Europejskiego i Rady (UE)</w:t>
      </w:r>
    </w:p>
    <w:p w14:paraId="3E83BF6C" w14:textId="77777777" w:rsidR="001E4D9B" w:rsidRPr="001E4D9B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E4D9B">
        <w:rPr>
          <w:rFonts w:asciiTheme="minorHAnsi" w:hAnsiTheme="minorHAnsi" w:cstheme="minorHAnsi"/>
          <w:i/>
          <w:sz w:val="18"/>
          <w:szCs w:val="18"/>
        </w:rPr>
        <w:t>2016/679 z dnia 27 kwietnia 2016 r. w sprawie ochrony osób fizycznych w związku z przetwarzaniem danych osobowych  i w sprawie swobodnego przepływu takich danych oraz uchylenia dyrektywy 95/46/WE</w:t>
      </w:r>
    </w:p>
    <w:p w14:paraId="5F535AE0" w14:textId="77777777" w:rsidR="001E4D9B" w:rsidRPr="001E4D9B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E4D9B">
        <w:rPr>
          <w:rFonts w:asciiTheme="minorHAnsi" w:hAnsiTheme="minorHAnsi" w:cstheme="minorHAnsi"/>
          <w:i/>
          <w:sz w:val="18"/>
          <w:szCs w:val="18"/>
        </w:rPr>
        <w:t>(ogólne rozporządzenie o ochronie danych) (Dz. Urz. UE L 119 z 04.05.2016, str. 1), dalej RODO, wobec osób fizycznych, od których dane osobowe bezpośrednio lub pośrednio pozyskałem w celu ubiegania</w:t>
      </w:r>
    </w:p>
    <w:p w14:paraId="01252BBF" w14:textId="645C148E" w:rsidR="00862C16" w:rsidRPr="00812AE1" w:rsidRDefault="001E4D9B" w:rsidP="00E47FC4">
      <w:pPr>
        <w:pStyle w:val="Bezodstpw"/>
        <w:ind w:hanging="851"/>
        <w:jc w:val="both"/>
        <w:rPr>
          <w:rFonts w:asciiTheme="minorHAnsi" w:hAnsiTheme="minorHAnsi" w:cstheme="minorHAnsi"/>
          <w:i/>
          <w:sz w:val="18"/>
          <w:szCs w:val="18"/>
        </w:rPr>
        <w:sectPr w:rsidR="00862C16" w:rsidRPr="00812AE1" w:rsidSect="00F43316">
          <w:pgSz w:w="16838" w:h="11906" w:orient="landscape"/>
          <w:pgMar w:top="1134" w:right="1134" w:bottom="1418" w:left="1134" w:header="709" w:footer="709" w:gutter="0"/>
          <w:cols w:space="708"/>
        </w:sectPr>
      </w:pPr>
      <w:r w:rsidRPr="001E4D9B">
        <w:rPr>
          <w:rFonts w:asciiTheme="minorHAnsi" w:hAnsiTheme="minorHAnsi" w:cstheme="minorHAnsi"/>
          <w:i/>
          <w:sz w:val="18"/>
          <w:szCs w:val="18"/>
        </w:rPr>
        <w:t>się o udzielenie zamówienia publicznego w niniejszym postępowaniu (wykonawca wykreśla powyższe oświadczenie w przypadku gdy go nie dotyczy.</w:t>
      </w:r>
      <w:r w:rsidR="00862C16" w:rsidRPr="00E008A9">
        <w:rPr>
          <w:rFonts w:asciiTheme="minorHAnsi" w:hAnsiTheme="minorHAnsi" w:cstheme="minorHAnsi"/>
        </w:rPr>
        <w:t xml:space="preserve">                                                             </w:t>
      </w:r>
      <w:bookmarkStart w:id="0" w:name="_GoBack"/>
      <w:bookmarkEnd w:id="0"/>
    </w:p>
    <w:p w14:paraId="6DEA8672" w14:textId="3EF4C083" w:rsidR="00933AFA" w:rsidRPr="00E008A9" w:rsidRDefault="00933AFA" w:rsidP="005138F4">
      <w:pPr>
        <w:pStyle w:val="Bezodstpw"/>
        <w:rPr>
          <w:rFonts w:asciiTheme="minorHAnsi" w:hAnsiTheme="minorHAnsi" w:cstheme="minorHAnsi"/>
        </w:rPr>
      </w:pPr>
    </w:p>
    <w:sectPr w:rsidR="00933AFA" w:rsidRPr="00E008A9" w:rsidSect="005138F4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A4441"/>
    <w:multiLevelType w:val="hybridMultilevel"/>
    <w:tmpl w:val="564CF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6"/>
    <w:rsid w:val="00015FEA"/>
    <w:rsid w:val="00037295"/>
    <w:rsid w:val="00042398"/>
    <w:rsid w:val="000667D1"/>
    <w:rsid w:val="00066E27"/>
    <w:rsid w:val="00074890"/>
    <w:rsid w:val="00080DE9"/>
    <w:rsid w:val="000855E0"/>
    <w:rsid w:val="000C27A1"/>
    <w:rsid w:val="00126390"/>
    <w:rsid w:val="00142371"/>
    <w:rsid w:val="00165A38"/>
    <w:rsid w:val="00176838"/>
    <w:rsid w:val="00176860"/>
    <w:rsid w:val="00194276"/>
    <w:rsid w:val="001B3857"/>
    <w:rsid w:val="001E4D9B"/>
    <w:rsid w:val="001F2F3B"/>
    <w:rsid w:val="00202F36"/>
    <w:rsid w:val="00204F19"/>
    <w:rsid w:val="002168E0"/>
    <w:rsid w:val="00220E4C"/>
    <w:rsid w:val="002225C8"/>
    <w:rsid w:val="0022560B"/>
    <w:rsid w:val="00226839"/>
    <w:rsid w:val="0024563D"/>
    <w:rsid w:val="00250A8D"/>
    <w:rsid w:val="00270191"/>
    <w:rsid w:val="00277ACC"/>
    <w:rsid w:val="00281DAC"/>
    <w:rsid w:val="00294827"/>
    <w:rsid w:val="002B316F"/>
    <w:rsid w:val="002C091B"/>
    <w:rsid w:val="002C1CE5"/>
    <w:rsid w:val="002C5230"/>
    <w:rsid w:val="002D4612"/>
    <w:rsid w:val="002E5987"/>
    <w:rsid w:val="00364DAD"/>
    <w:rsid w:val="00372FDE"/>
    <w:rsid w:val="00383E12"/>
    <w:rsid w:val="00386B9D"/>
    <w:rsid w:val="0039653D"/>
    <w:rsid w:val="003B0410"/>
    <w:rsid w:val="003B3D1C"/>
    <w:rsid w:val="003C2578"/>
    <w:rsid w:val="003C7C24"/>
    <w:rsid w:val="003D6530"/>
    <w:rsid w:val="003D75D4"/>
    <w:rsid w:val="00425A68"/>
    <w:rsid w:val="00455EC5"/>
    <w:rsid w:val="004825B4"/>
    <w:rsid w:val="004827E7"/>
    <w:rsid w:val="00490284"/>
    <w:rsid w:val="004B2D68"/>
    <w:rsid w:val="004C7865"/>
    <w:rsid w:val="004D1A65"/>
    <w:rsid w:val="004E21DC"/>
    <w:rsid w:val="004E2F8C"/>
    <w:rsid w:val="004F6751"/>
    <w:rsid w:val="005138F4"/>
    <w:rsid w:val="00522020"/>
    <w:rsid w:val="00541C5A"/>
    <w:rsid w:val="00547B38"/>
    <w:rsid w:val="00557F97"/>
    <w:rsid w:val="00570B86"/>
    <w:rsid w:val="005971BD"/>
    <w:rsid w:val="005D0FA0"/>
    <w:rsid w:val="005D2788"/>
    <w:rsid w:val="005E5E84"/>
    <w:rsid w:val="005E6FDA"/>
    <w:rsid w:val="00607F43"/>
    <w:rsid w:val="006275A4"/>
    <w:rsid w:val="00635CA0"/>
    <w:rsid w:val="00671D05"/>
    <w:rsid w:val="006757B0"/>
    <w:rsid w:val="0068241E"/>
    <w:rsid w:val="006B775D"/>
    <w:rsid w:val="006C07EF"/>
    <w:rsid w:val="006E3DD8"/>
    <w:rsid w:val="006E4549"/>
    <w:rsid w:val="006E7A66"/>
    <w:rsid w:val="006F3C01"/>
    <w:rsid w:val="006F7765"/>
    <w:rsid w:val="0071033E"/>
    <w:rsid w:val="00713487"/>
    <w:rsid w:val="00721CC5"/>
    <w:rsid w:val="00730E94"/>
    <w:rsid w:val="007316EF"/>
    <w:rsid w:val="0073761E"/>
    <w:rsid w:val="00744D8E"/>
    <w:rsid w:val="00764565"/>
    <w:rsid w:val="00764921"/>
    <w:rsid w:val="007759E9"/>
    <w:rsid w:val="00784BF5"/>
    <w:rsid w:val="007A2478"/>
    <w:rsid w:val="007B7889"/>
    <w:rsid w:val="007C16F9"/>
    <w:rsid w:val="007C267C"/>
    <w:rsid w:val="007C354E"/>
    <w:rsid w:val="007C533A"/>
    <w:rsid w:val="007E0B78"/>
    <w:rsid w:val="007F6178"/>
    <w:rsid w:val="00802747"/>
    <w:rsid w:val="00812AE1"/>
    <w:rsid w:val="008219FF"/>
    <w:rsid w:val="00827ADA"/>
    <w:rsid w:val="00840B70"/>
    <w:rsid w:val="00862C16"/>
    <w:rsid w:val="00877448"/>
    <w:rsid w:val="008A3E34"/>
    <w:rsid w:val="00933AFA"/>
    <w:rsid w:val="009615BC"/>
    <w:rsid w:val="00970C57"/>
    <w:rsid w:val="00972E35"/>
    <w:rsid w:val="00997AD0"/>
    <w:rsid w:val="009A3D12"/>
    <w:rsid w:val="009B6E3F"/>
    <w:rsid w:val="009E32D3"/>
    <w:rsid w:val="009F2AEF"/>
    <w:rsid w:val="00A332A7"/>
    <w:rsid w:val="00A336E7"/>
    <w:rsid w:val="00A44E12"/>
    <w:rsid w:val="00A471B2"/>
    <w:rsid w:val="00A72FEF"/>
    <w:rsid w:val="00A91493"/>
    <w:rsid w:val="00AB00D1"/>
    <w:rsid w:val="00AB1EB0"/>
    <w:rsid w:val="00AB2024"/>
    <w:rsid w:val="00AC747A"/>
    <w:rsid w:val="00AE1C0D"/>
    <w:rsid w:val="00AE727A"/>
    <w:rsid w:val="00B07848"/>
    <w:rsid w:val="00B15D2A"/>
    <w:rsid w:val="00B2282C"/>
    <w:rsid w:val="00B32E9E"/>
    <w:rsid w:val="00B40180"/>
    <w:rsid w:val="00B516EC"/>
    <w:rsid w:val="00B71C57"/>
    <w:rsid w:val="00B84355"/>
    <w:rsid w:val="00BA16CE"/>
    <w:rsid w:val="00BB1C9A"/>
    <w:rsid w:val="00BE1A88"/>
    <w:rsid w:val="00BF028D"/>
    <w:rsid w:val="00C011CF"/>
    <w:rsid w:val="00C14716"/>
    <w:rsid w:val="00C43B03"/>
    <w:rsid w:val="00C47F5E"/>
    <w:rsid w:val="00C510B1"/>
    <w:rsid w:val="00C62198"/>
    <w:rsid w:val="00C62F9E"/>
    <w:rsid w:val="00C67382"/>
    <w:rsid w:val="00C853F4"/>
    <w:rsid w:val="00C971C7"/>
    <w:rsid w:val="00CA5016"/>
    <w:rsid w:val="00CB16D9"/>
    <w:rsid w:val="00CB4CAF"/>
    <w:rsid w:val="00CB68A0"/>
    <w:rsid w:val="00D0350A"/>
    <w:rsid w:val="00D045C6"/>
    <w:rsid w:val="00D26ADD"/>
    <w:rsid w:val="00D3484A"/>
    <w:rsid w:val="00D35BED"/>
    <w:rsid w:val="00D47179"/>
    <w:rsid w:val="00D51A58"/>
    <w:rsid w:val="00D66551"/>
    <w:rsid w:val="00D7179E"/>
    <w:rsid w:val="00DA524F"/>
    <w:rsid w:val="00DB1BE6"/>
    <w:rsid w:val="00DB7AB3"/>
    <w:rsid w:val="00DF4F8A"/>
    <w:rsid w:val="00E008A9"/>
    <w:rsid w:val="00E42F67"/>
    <w:rsid w:val="00E47FC4"/>
    <w:rsid w:val="00E53257"/>
    <w:rsid w:val="00E663A8"/>
    <w:rsid w:val="00E91EDD"/>
    <w:rsid w:val="00E95D7F"/>
    <w:rsid w:val="00EA26DA"/>
    <w:rsid w:val="00F157B1"/>
    <w:rsid w:val="00F42F46"/>
    <w:rsid w:val="00F43316"/>
    <w:rsid w:val="00F75982"/>
    <w:rsid w:val="00F80C4F"/>
    <w:rsid w:val="00F95FA4"/>
    <w:rsid w:val="00FA7067"/>
    <w:rsid w:val="00FB060E"/>
    <w:rsid w:val="00FC5DD6"/>
    <w:rsid w:val="00FD0875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1C4"/>
  <w15:chartTrackingRefBased/>
  <w15:docId w15:val="{C0C96B5D-8FD7-48F8-92E4-9D46001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2C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862C16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62C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91B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D7179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179E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rsid w:val="00A44E1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44E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13"/>
    <w:basedOn w:val="Tekstpodstawowy"/>
    <w:rsid w:val="00A44E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2564</Words>
  <Characters>15388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Zamówienia Publiczne</cp:lastModifiedBy>
  <cp:revision>4</cp:revision>
  <cp:lastPrinted>2025-10-08T12:26:00Z</cp:lastPrinted>
  <dcterms:created xsi:type="dcterms:W3CDTF">2025-10-08T09:33:00Z</dcterms:created>
  <dcterms:modified xsi:type="dcterms:W3CDTF">2025-10-08T12:30:00Z</dcterms:modified>
</cp:coreProperties>
</file>