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08F4F" w14:textId="6C0D8922" w:rsidR="00862C16" w:rsidRPr="00A44E12" w:rsidRDefault="00862C16" w:rsidP="00862C1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44E1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355459E" w14:textId="505CFDF6" w:rsidR="00A44E12" w:rsidRPr="0039653D" w:rsidRDefault="00862C16" w:rsidP="00A44E12">
      <w:pPr>
        <w:pStyle w:val="Bezodstpw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 xml:space="preserve"> Nazwa i adres wykonawcy</w:t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  <w:t>Załącznik nr 1 do SWZ</w:t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</w:p>
    <w:p w14:paraId="495C7C24" w14:textId="045B6383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1055C40" w14:textId="6079B59F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094B00C6" w14:textId="6E8AA851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>(pełna nazwa/firma, adres</w:t>
      </w:r>
      <w:r w:rsidR="001E4D9B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, w zależności od podmiotu: </w:t>
      </w:r>
    </w:p>
    <w:p w14:paraId="1D6960E8" w14:textId="77777777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>NIP:………………………………………….</w:t>
      </w:r>
    </w:p>
    <w:p w14:paraId="3108E91F" w14:textId="2728B552" w:rsidR="00383E12" w:rsidRPr="00A44E12" w:rsidRDefault="00A44E12" w:rsidP="005E5E84">
      <w:pPr>
        <w:tabs>
          <w:tab w:val="left" w:pos="9072"/>
        </w:tabs>
        <w:ind w:hanging="851"/>
        <w:rPr>
          <w:rFonts w:asciiTheme="minorHAnsi" w:hAnsiTheme="minorHAnsi" w:cs="Arial"/>
          <w:b/>
          <w:sz w:val="20"/>
          <w:szCs w:val="20"/>
        </w:rPr>
      </w:pPr>
      <w:r w:rsidRPr="0039653D">
        <w:rPr>
          <w:rFonts w:asciiTheme="minorHAnsi" w:hAnsiTheme="minorHAnsi" w:cstheme="minorHAnsi"/>
          <w:b/>
          <w:bCs/>
          <w:i/>
        </w:rPr>
        <w:tab/>
        <w:t>KRS: ……………………………………..…</w:t>
      </w:r>
      <w:r w:rsidRPr="00C3745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C3745C"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14:paraId="31B37575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  <w:b/>
        </w:rPr>
      </w:pP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</w:t>
      </w:r>
    </w:p>
    <w:p w14:paraId="3D6A6E98" w14:textId="77777777" w:rsidR="005E5E84" w:rsidRPr="0039653D" w:rsidRDefault="005E5E84" w:rsidP="00862C16">
      <w:pPr>
        <w:jc w:val="center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>OFERTA</w:t>
      </w:r>
    </w:p>
    <w:p w14:paraId="42C9FD3D" w14:textId="4C8D6A48" w:rsidR="00862C16" w:rsidRPr="0039653D" w:rsidRDefault="005E5E84" w:rsidP="00862C16">
      <w:pPr>
        <w:jc w:val="center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 xml:space="preserve">WRAZ Z </w:t>
      </w:r>
      <w:r w:rsidR="00862C16" w:rsidRPr="0039653D">
        <w:rPr>
          <w:rFonts w:asciiTheme="minorHAnsi" w:hAnsiTheme="minorHAnsi" w:cstheme="minorHAnsi"/>
          <w:b/>
        </w:rPr>
        <w:t>OPIS</w:t>
      </w:r>
      <w:r w:rsidRPr="0039653D">
        <w:rPr>
          <w:rFonts w:asciiTheme="minorHAnsi" w:hAnsiTheme="minorHAnsi" w:cstheme="minorHAnsi"/>
          <w:b/>
        </w:rPr>
        <w:t>EM</w:t>
      </w:r>
      <w:r w:rsidR="00862C16" w:rsidRPr="0039653D">
        <w:rPr>
          <w:rFonts w:asciiTheme="minorHAnsi" w:hAnsiTheme="minorHAnsi" w:cstheme="minorHAnsi"/>
          <w:b/>
        </w:rPr>
        <w:t xml:space="preserve"> PRZEDMIOTU ZAMÓWIENIA        </w:t>
      </w:r>
    </w:p>
    <w:p w14:paraId="3B51F9AB" w14:textId="01156F30" w:rsidR="005E5E84" w:rsidRPr="0039653D" w:rsidRDefault="005E5E84" w:rsidP="005E5E84">
      <w:pPr>
        <w:pStyle w:val="Tekstpodstawowy"/>
        <w:spacing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W odpowiedzi na ogłoszenie dotyczące  udzielenia zamówienia publicznego na dostawę odczynników do biologii molekularnej, ZNAK SPRAWY Sz.S.POO.SZP.3810.86.2025, przedstawiamy następującą ofertę:</w:t>
      </w:r>
    </w:p>
    <w:p w14:paraId="0B5AC2F1" w14:textId="77777777" w:rsidR="00862C16" w:rsidRPr="0039653D" w:rsidRDefault="00862C16" w:rsidP="00862C16">
      <w:pPr>
        <w:rPr>
          <w:rFonts w:asciiTheme="minorHAnsi" w:hAnsiTheme="minorHAnsi" w:cstheme="minorHAnsi"/>
          <w:i/>
        </w:rPr>
      </w:pPr>
    </w:p>
    <w:p w14:paraId="33F53C1E" w14:textId="77777777" w:rsidR="00862C16" w:rsidRPr="0039653D" w:rsidRDefault="00862C16" w:rsidP="00862C16">
      <w:pPr>
        <w:rPr>
          <w:rFonts w:asciiTheme="minorHAnsi" w:hAnsiTheme="minorHAnsi" w:cstheme="minorHAnsi"/>
          <w:b/>
          <w:i/>
        </w:rPr>
      </w:pPr>
    </w:p>
    <w:p w14:paraId="621016F3" w14:textId="5658E06B" w:rsidR="00862C16" w:rsidRPr="0039653D" w:rsidRDefault="00862C16" w:rsidP="00862C1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9653D">
        <w:rPr>
          <w:rFonts w:asciiTheme="minorHAnsi" w:hAnsiTheme="minorHAnsi" w:cstheme="minorHAnsi"/>
          <w:b/>
          <w:i/>
        </w:rPr>
        <w:t>Nazwa: wykaz odczynników i materiałów zużywalnych do wykonywania sekwencjonowania NGS i sekwencjonowania kapilarnego na aparatach ION TORRENT S5 i 3500</w:t>
      </w:r>
      <w:r w:rsidR="004E21DC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39653D">
        <w:rPr>
          <w:rFonts w:asciiTheme="minorHAnsi" w:hAnsiTheme="minorHAnsi" w:cstheme="minorHAnsi"/>
          <w:b/>
          <w:i/>
        </w:rPr>
        <w:t>Genetic</w:t>
      </w:r>
      <w:proofErr w:type="spellEnd"/>
      <w:r w:rsidRPr="0039653D">
        <w:rPr>
          <w:rFonts w:asciiTheme="minorHAnsi" w:hAnsiTheme="minorHAnsi" w:cstheme="minorHAnsi"/>
          <w:b/>
          <w:i/>
        </w:rPr>
        <w:t xml:space="preserve"> Analyzer.</w:t>
      </w:r>
    </w:p>
    <w:tbl>
      <w:tblPr>
        <w:tblpPr w:leftFromText="141" w:rightFromText="141" w:horzAnchor="margin" w:tblpXSpec="center" w:tblpY="-900"/>
        <w:tblW w:w="1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658"/>
        <w:gridCol w:w="677"/>
        <w:gridCol w:w="1417"/>
        <w:gridCol w:w="1134"/>
        <w:gridCol w:w="851"/>
        <w:gridCol w:w="1275"/>
        <w:gridCol w:w="3479"/>
      </w:tblGrid>
      <w:tr w:rsidR="002C5230" w:rsidRPr="00E008A9" w14:paraId="29BE1A6E" w14:textId="77777777" w:rsidTr="007B7889">
        <w:trPr>
          <w:trHeight w:val="2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4D502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lastRenderedPageBreak/>
              <w:t>L.p.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07D264" w14:textId="77777777" w:rsidR="002C5230" w:rsidRPr="00E008A9" w:rsidRDefault="002C5230" w:rsidP="00A44E12">
            <w:pPr>
              <w:ind w:left="-809" w:firstLine="809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Opis przedmiotu zamówienia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EF5F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j.m.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6B891D" w14:textId="7820CE3D" w:rsidR="002C5230" w:rsidRPr="00165A38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165A38">
              <w:rPr>
                <w:rFonts w:asciiTheme="minorHAnsi" w:hAnsiTheme="minorHAnsi" w:cstheme="minorHAnsi"/>
                <w:b/>
                <w:i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3EAD31" w14:textId="0558A2D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Cena jednostkowa netto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87124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D53A23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240C5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Wartość brutto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FAEF6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Typ (nazwa, numer katalogowy) /producent/wielkość opakowania (uwaga jeśli zestaw składa się z kilku elementów oddzielnie katalogowanych należy podać wszystkie numery katalogowe) podać wszystkie produkty mieszczące się w ofercie</w:t>
            </w:r>
          </w:p>
        </w:tc>
      </w:tr>
      <w:tr w:rsidR="002C5230" w:rsidRPr="00E008A9" w14:paraId="525F46D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BEA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24E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Odwrotna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Transkryptaza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Zapewnia odporności na inhibitory, wysoką wydajność i szybkości reakcji, przy zwiększonej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termostabilności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wysoce wydajnej syntezie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pełnej długości i zmniejszonej aktywności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Zestaw zawiera wszystkie elementy potrzebne do reakcji RT, oraz dodatkowy gen i startery kontrolne. Umożliwia przeprowadzenie minimum 50 reakcji.</w:t>
            </w:r>
          </w:p>
          <w:p w14:paraId="02A04F2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11D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219" w14:textId="6B6CDB8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E34" w14:textId="1C77FF2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0B9" w14:textId="6495D3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831" w14:textId="51DE9F6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F02" w14:textId="0CB9E0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3D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21AFA0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86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8A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Zrekombinowany inhibitor rybonukleazy takiej jak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 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C. stosowany w celu uniknięcia degradacji RNA w różnych zastosowaniach. W postaci białka o masie cząsteczkowej ~ 52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kDa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minimum 5000 jednostek</w:t>
            </w:r>
          </w:p>
          <w:p w14:paraId="76DACC1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917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590" w14:textId="0874E41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B5D" w14:textId="7EE2ABE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957" w14:textId="35A0F80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E2E" w14:textId="64A1FE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0CE" w14:textId="5A114C1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D5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139607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803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A05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reakcji PCR spełniający warunki protokołu reakcji PCR, zawierający czynnik „wzmacniający” umożliwiający amplifikację trudnych matryc z wysoką zawartością par GC. Zestaw zawiera: zrekombinowaną,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termostabilną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polimerazę, dodatkowo oczyszczaną, zoptymalizowany bufor PCR, MgCl2 oraz czynnik wzmacniający, 250U enzymu</w:t>
            </w:r>
          </w:p>
          <w:p w14:paraId="475AD64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22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726" w14:textId="7940421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769" w14:textId="7024627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420" w14:textId="6ED701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891" w14:textId="634F28A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D75" w14:textId="07E124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FA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39B83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916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C4C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reakcji PCR spełniający warunki protokołu reakcji PCR, zawierający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termostabilną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polimerazę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AmpliTaq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Gold działającą w technologii „Hot Start” lub równoważną, zoptymalizowany bufor PCR, MgCl2. 250U enzymu</w:t>
            </w:r>
          </w:p>
          <w:p w14:paraId="7FD4882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580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806" w14:textId="3133D62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C6" w14:textId="71D640D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C44" w14:textId="46A3A09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A7B" w14:textId="6217D0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8FE" w14:textId="318F50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69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DC87709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20D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E39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fluorymetryczny pomiar stężenia DNA co najmniej w zakresie od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/ul do 100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/ul. Odczynnik kompatybilny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fluorymetremQubit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Zestaw na co najmniej  500 oznaczeń. </w:t>
            </w:r>
          </w:p>
          <w:p w14:paraId="77502CD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B6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23" w14:textId="691BD00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8EA" w14:textId="70E086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103" w14:textId="292F0D1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F49" w14:textId="5F6E653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C47" w14:textId="3BF920D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19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C7C7E1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02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AA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Enzym restrykcyjny E321(Eco32I) – miejsce trawienia :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5'     G   A   T ↓ A   T   C     3' 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, optymalna temperatura reakcji 37 st. C, szybkie trawienie produktów 5-15 min. , odczynnik na 200 reakcji.</w:t>
            </w:r>
          </w:p>
          <w:p w14:paraId="64C65C8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30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342" w14:textId="69CD32F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161" w14:textId="41528C8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E47" w14:textId="6CFAD52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40B" w14:textId="0838254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359" w14:textId="3D267A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6D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10A7E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81E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9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Enzym restrykcyjny E321(Eco32I) – miejsce trawienia :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5'     G   A   T ↓ A   T   C     3' 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, optymalna temperatura reakcji 37 st. C,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steżenie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10U/ul, . , odczynnik na 2000 jednostek.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B1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197" w14:textId="002A571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2B1" w14:textId="02B4E5C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2F2" w14:textId="7365F92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52A" w14:textId="67B3AFA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1A2" w14:textId="6860E16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AD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D21F15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15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E6E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10mM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dNTP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Mix, Wodny roztwór 4 nukleotydów, każdy po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czystość powyżej 99%, ilość 1 ml.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35B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A01" w14:textId="735C3A9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A9D" w14:textId="364CEDF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F04" w14:textId="16FA822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819" w14:textId="63C851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109" w14:textId="5D60C09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AD4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CB06C2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53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025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10 płytek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CF9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4A0" w14:textId="2B1D6BE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F50" w14:textId="0E5C835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1FD" w14:textId="6B9FFD7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F8D" w14:textId="7B64F8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97D" w14:textId="307B0B1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CF000E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057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72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 oznaczone kodem kreskowym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10 płytek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2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A8" w14:textId="22C1484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AAF" w14:textId="0783601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DE1" w14:textId="4C529E8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691" w14:textId="2DD12A5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CBF" w14:textId="7E5213D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D9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F0A2A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89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12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oznaczone kodem kreskowym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20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594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ABF" w14:textId="6BFF5B1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B19" w14:textId="362A25B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629" w14:textId="6B05431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1D5" w14:textId="07B94E8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865" w14:textId="2E838CB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9B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C02B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D275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8F6B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200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F8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984" w14:textId="3E57104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B1F" w14:textId="07E141A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DFB" w14:textId="36E5EE3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604" w14:textId="4434C13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D82" w14:textId="1D7C4A2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6F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989691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EE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DB7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Optyczne pokrywy adhezyjne do przeprowadzania reakcji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RealTime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PCR, 100 folii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D3E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333" w14:textId="3411D2D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834" w14:textId="0199FE1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160" w14:textId="6B56430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B96" w14:textId="3A80695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FEC" w14:textId="5EF3654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FE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4E43EA6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03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04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Płytka 96-dołkowa. Pojemność pojedynczego dołka równa 0,1 ml. Odczynniki do przeprowadzenia kalibracji spektralnej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 dla barwników fluorescencyjnych FAM, VIC, ROX, SYBR.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D65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020" w14:textId="2AD34DA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99E" w14:textId="570E454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FD6" w14:textId="1588F45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2D9" w14:textId="0687746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D35" w14:textId="02C2CEE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3F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829B03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7F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FAB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Płytka 96-dołkowa.  Pojemność pojedynczego dołka równa 0,1 ml. Odczynniki do przeprowadzenia kalibracji spektralnej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 dla barwników fluorescencyjnych TAMRA, NED, Cy5.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3F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8FE" w14:textId="0757436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E48" w14:textId="30D4476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188" w14:textId="61931B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BEC" w14:textId="2A24D1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B71" w14:textId="462590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EA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4E806D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E1A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0B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Master Mix w formacie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premixu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2X zawierającego polimerazę DNA o parametrach nie gorszych niż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AmpliTaq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Gold,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glikozylazę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uracyl-DNA,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dNTPs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dUTP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barwnik referencyjny ROX oraz bufor. Odczynnik musi być komplementarny z aparatem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Dostarczona ilość musi być wystarczająca na 200 reakcji w objętości 50 µl.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C0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F63" w14:textId="39C0CB2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69" w14:textId="02713E2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17F" w14:textId="4BE980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772" w14:textId="73F6536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71A" w14:textId="198A915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CF7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B53C55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4F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9D5" w14:textId="46C3EC39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pozwalający na sekwencjonowanie NGS genów BRCA1/2 z wykorzystaniem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IonTorrent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automatycznym przygotowaniem bibliotek na platformie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wystarczający na analizę 32 próbek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E2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5D1" w14:textId="343EC57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323" w14:textId="219FE70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777" w14:textId="6FECB5F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172" w14:textId="4C36DD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B7F" w14:textId="20DCA87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55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CF23B5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56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7A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pozwalający na sekwencjonowanie NGS genów BRCA1/2 z wykorzystaniem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IonTorrent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manualnym przygotowaniem biblioteki.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A52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638" w14:textId="654A152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A8A" w14:textId="62A1CE1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CE3" w14:textId="3042ABB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67B" w14:textId="56F5D6E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362" w14:textId="403BF36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10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C521D5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3D1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9C1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aparatów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510/520/530 ™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510TM ,520 ™ lub 530 ™. Zestaw umożliwiający sekwencjonowanie 2 chipów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D3C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3C3" w14:textId="21B4976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B3AA" w14:textId="633A8431" w:rsidR="002C5230" w:rsidRPr="00E42F67" w:rsidRDefault="002C5230" w:rsidP="00A44E12">
            <w:pPr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6E2" w14:textId="342F6EE1" w:rsidR="002C5230" w:rsidRPr="00E42F67" w:rsidRDefault="002C5230" w:rsidP="00A44E12">
            <w:pPr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C1F" w14:textId="2F92F78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9F1" w14:textId="062E0C1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3B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1123D9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4A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8D8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aparatów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510/520/530 ™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510TM ,520 ™ lub 530 ™. Zestaw umożliwiający sekwencjonowanie 1 chipa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A7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6AF" w14:textId="28219F8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73E" w14:textId="0DAA62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7A6" w14:textId="1EA9295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1C8" w14:textId="3356A9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B29" w14:textId="75575B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B8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E09BB1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AEB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686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do 3 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B01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7ED" w14:textId="2CF154E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BC6" w14:textId="7A3E095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9A5" w14:textId="61BEAF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A0E" w14:textId="6D75F82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020" w14:textId="7C4490D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20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A71AFE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BEF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FB8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4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3-5Mln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6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33A" w14:textId="41532CD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2FD" w14:textId="25864E4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176" w14:textId="77AD6D6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5A2" w14:textId="76CED42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28E" w14:textId="15263BBF" w:rsidR="002C5230" w:rsidRPr="00E008A9" w:rsidRDefault="002C5230" w:rsidP="00A44E12">
            <w:pPr>
              <w:tabs>
                <w:tab w:val="left" w:pos="735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F1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2B5A18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331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26A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3-6Mln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26C5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B7F" w14:textId="2EEBDE71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D75" w14:textId="5BFAD4D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994" w14:textId="08B08A3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811" w14:textId="5F1D78C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432" w14:textId="7994DE3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AE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D953BF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79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0177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15-20 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024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79" w14:textId="7AA2EB3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155" w14:textId="3994043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D64" w14:textId="2F64C23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20E" w14:textId="402D92C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CED" w14:textId="392449B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1C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1228B2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F43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473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60-80Mln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86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E17" w14:textId="5725F0C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C10" w14:textId="2D6221C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6C0" w14:textId="073C20D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B6B" w14:textId="3A73CAE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67F" w14:textId="4E053F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54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66B91C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979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1A5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aparatówjIon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540 ™. Zestaw umożliwiający sekwencjonowanie 2 chipów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14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03F" w14:textId="7A964C8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5C5" w14:textId="5A7E9BF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8F4" w14:textId="784C854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FEF" w14:textId="09435CD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EC1" w14:textId="405B4A6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E2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54EBD2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379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B20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Zestaw do normalizacji bibliotek przed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emPCR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z wykorzystaniem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qPCR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zgodny z  Personal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Genome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Machine™ System . Umożliwiający przeprowadzenie 250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B10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A5A" w14:textId="13A5003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6CE" w14:textId="6A7A869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A4F" w14:textId="6B82AF9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1DC" w14:textId="1E2AD03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3BE" w14:textId="7F4F3E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38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0373C1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F7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7FB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Cienkościenne, nieaktywne optycznie probówki o pojemności 0,5 ml wykonane z polipropylenu. Probówki  kompatybilne z aparatem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Qubit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4. 500 sztuk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83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63C" w14:textId="426CC53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805" w14:textId="5A1C0A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FAC" w14:textId="18A921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ABF" w14:textId="03F2E7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C2C" w14:textId="51995F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2F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307DBD2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465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CB5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 207 modyfikowanych par starterów pokrywających ok. 2800 mutacji COSMIC pochodzących z 50 onkogenów i genów supresji komórek nowotworowych.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EED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F21" w14:textId="61D79930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634" w14:textId="13E7E10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5BA" w14:textId="6AB85AC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C6E" w14:textId="179C85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C53" w14:textId="69B9CA8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95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4F3E8D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546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2A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oznaczeń NGS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wolnokrążącego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DNA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cfDNA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z plazmy lub pełnej krwi - zmian nukleotydowych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indeli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dla genów NSCLC (11 genów (ALK, BRAF, EGFR, ERBB2, KRAS, MAP2K1, MET, NRAS, PIK3CA, ROS1, and TP53) i &gt;150 mutacji.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B0A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8BD" w14:textId="271CB31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501" w14:textId="024717D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2EE" w14:textId="4DA4BB6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DD0" w14:textId="6F132CA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707" w14:textId="5ACC6A3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F7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33CB7C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0C5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96A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oznaczeń NGS dla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cfDNA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nowotworach jelita grubego.  14 genów (AKT1, BRAF, CTNNB1, EGFR, ERBB2, FBXW7, GNAS, KRAS, MAP2K1, NRAS, PIK3CA, MAD4, TP53, APC) i  &gt;240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hotspotów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3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CD8" w14:textId="130F150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4D8" w14:textId="7EE1289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A47" w14:textId="6B7D19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0A5" w14:textId="3A550A6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E2A" w14:textId="2C7FB52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23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61BFD1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B8B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9B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Gotowy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primerów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odczynników  niezbędnych do przygotowania bibliotek z wykorzystaniem systemu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Umożliwiający przeprowadzenie 32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23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023" w14:textId="44A5A22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72E" w14:textId="14596D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0CA" w14:textId="25292A0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E3F" w14:textId="79F0C7A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10F" w14:textId="1CA4D0F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50E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44CE0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ACB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85C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dowolnych 51-300 genów,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240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32B" w14:textId="6742E34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817" w14:textId="504956D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53D" w14:textId="57C418C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206" w14:textId="5E5AADA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C9A" w14:textId="0996197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36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A4F586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77F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D34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dowolnych 1-50 genów,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86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52E" w14:textId="4613C5F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FC0" w14:textId="03A4630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76F" w14:textId="062681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705" w14:textId="19AC683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F69" w14:textId="723FEE7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BC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67C611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4C3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3FE5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pozwalający na automatyczne przygotowanie 32 bibliotek z użyciem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System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12F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E23" w14:textId="7F9DC7E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5F1" w14:textId="11D454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F24" w14:textId="3DBA823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196" w14:textId="6A46EB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23C" w14:textId="32B5248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13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8511062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760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EFB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pozwalających  na amplifikację oraz przygotowanie bibliotek 8 DNA pracujących  w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0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D86" w14:textId="630BC85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B92" w14:textId="07F5ED0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FD8" w14:textId="6E1DAE3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6F7" w14:textId="740B3C8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EE0" w14:textId="3171C12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33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03DB0F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57F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985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z wykorzystaniem paneli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24 reakcje, kompatybilny ze starterami do przygotowania biblioteki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Oncomine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BRCA.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EDC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4EE" w14:textId="6E0A713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792" w14:textId="187D75F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490" w14:textId="3A4DD9D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123" w14:textId="7F7EB0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A0C" w14:textId="5B023A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28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38FEC3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7349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78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Zestaw16 (1-16) unikalnych sekwencji -etykiet markerowych pozwalających na przygotowanie reakcji multipleksowych - 160 reakcji na 16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plexgDNA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04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A82" w14:textId="21A7210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141" w14:textId="734F71C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EE8" w14:textId="6547D09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162" w14:textId="3A262AE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40A" w14:textId="6D1E30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2D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127042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D1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FE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Zestaw16 </w:t>
            </w: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(33-48)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unikalnych sekwencji -etykiet markerowych pozwalających na przygotowanie reakcji multipleksowych - 160 reakcji na 16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plexgDNA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CB0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81D" w14:textId="23AAEAB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BF3" w14:textId="57B31E3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046" w14:textId="4976EFC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C7D" w14:textId="3CEF756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95" w14:textId="66D964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37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C15B3F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EF4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28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typu fragmentacji- 10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rxn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29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4DC" w14:textId="680181A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F3A" w14:textId="42CBC50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226" w14:textId="4A37605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9A0" w14:textId="134146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CFB" w14:textId="6414F67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5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B748CE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C98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FB7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kapilar 3500 Instrument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CapillaryArray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8 x 50 cm, stanowiący integralną, zużywalną część wyposażenia posiadanego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3500scalony zestaw 8 kapilar wewnętrznie niepowlekanych, z jednym oknem odczytu, o długości 50 cm, gwarantujący prawidłowość elektroforetycznych rozdziałów fragmentów DNA- konfekcjonowany fabrycznie, 1 sztuka (zestaw)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F5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5C3" w14:textId="20B55A8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F8C" w14:textId="6856F6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A41" w14:textId="6406416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286" w14:textId="3F9F79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062" w14:textId="3F1FBCE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A6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AEB72D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036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95C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Pojemnik z buforem anodowym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1F6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766" w14:textId="266B4C3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285" w14:textId="2B1012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784" w14:textId="440BB2A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C90" w14:textId="4B2E23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9CF" w14:textId="4F4CAA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A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D2D0C0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013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86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Pojemnik z buforem katodowym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EF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44E" w14:textId="1FF7D46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6DC" w14:textId="730C6FB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34B" w14:textId="40A4D3C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5E1" w14:textId="52DB42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4AC" w14:textId="55EBD1C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5D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2875B9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E2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23D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Gotowy do użycia odczynnik stosowany do przygotowania i przemywania pompy polimeru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stosowany w pompie przy zmianie polimeru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-w opakowaniu rozpoznawalnym przez system monitorowania czasu pracy i daty 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796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29E" w14:textId="733BC2A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922" w14:textId="607449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99F" w14:textId="3EF1871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4BB" w14:textId="024F80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354" w14:textId="77777777" w:rsidR="002C5230" w:rsidRPr="00C14716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9C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985320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9ED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DED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Polimer do elektroforezy POP-7 Performance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Optimized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 3500 Series: gotowy do użycia, o własnościach spełniających wymagania elektroforezy kapilarnej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uniwersalny, optymalizowany do użycia w analizach fragmentów jak i sekwencjonowania krótkich i długich fragmentów na analizatorze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konfekcjonowany fabrycznie, w opakowaniu rozpoznawalnym przez system monitorowania czasu pracy i daty 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pozwalający na przeprowadzenie do 96 analiz po zainstalowaniu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8CC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8E5" w14:textId="6275072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53A" w14:textId="44D5A2C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A26" w14:textId="403CE5E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99F7" w14:textId="6F2381F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0FA" w14:textId="77777777" w:rsidR="002C5230" w:rsidRPr="00FD0875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4F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29C8E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EE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DD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Polimer do elektroforezy POP-7 Performance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Optimized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 3500 Series: gotowy do użycia, o własnościach spełniających wymagania elektroforezy kapilarnej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uniwersalny, optymalizowany do użycia w analizach fragmentów jak i sekwencjonowania krótkich i długich fragmentów na analizatorze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konfekcjonowany fabrycznie, w opakowaniu rozpoznawalnym przez system monitorowania czasu pracy i daty 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pozwalający na przeprowadzenie do 384 analiz po zainstalowaniu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24A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C4A2" w14:textId="3EA1644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2B0" w14:textId="1A9D5DC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04E" w14:textId="3C431CE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3D0" w14:textId="4DBF3A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43D" w14:textId="6560CDA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3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28AA35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B83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49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FC9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3500/3500xL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SequencingStandards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™ Terminator v1.1 lub równoważny: Zestaw zawierający standard umożliwiający kalibrację spektralną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dla chemii reakcyjnej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1.1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</w:t>
            </w:r>
          </w:p>
          <w:p w14:paraId="39143E90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E5C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C8F" w14:textId="5091A9B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F7D" w14:textId="513B41C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16E" w14:textId="2A3E70E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CB2" w14:textId="31E145C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312" w14:textId="2FA6ED1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26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6E6C08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81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54E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1.1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E0E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7F6" w14:textId="7F29108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8F0" w14:textId="02AF7C6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919" w14:textId="6BEDCF2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BF1" w14:textId="0E04DF0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772" w14:textId="035C7BC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16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685E2F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87C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FEF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1.1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F3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372" w14:textId="656CABB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1D4" w14:textId="5123A9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B07" w14:textId="731FE8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C81" w14:textId="7F3018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D35" w14:textId="2AD9C38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D4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3950F4C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E6F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043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3.1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EA46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2BC" w14:textId="15056C9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27D" w14:textId="36686EE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19C" w14:textId="01A2CB4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375" w14:textId="2EE0D04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E07" w14:textId="23BD43D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2F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53E871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D24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96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5x stężony bufor do rozcieńczania próbki do sekwencjonowania – konfekcjonowany fabrycznie w opakowaniu 1 ml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0DB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594" w14:textId="79CD280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272" w14:textId="6D6B58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4E9" w14:textId="573D093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303" w14:textId="2B6B879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C68" w14:textId="2E165FF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BB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C27818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F94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AC2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niezbędnych do oczyszczenia DNA po sekwencjonowaniu  usuwający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niewinkorporowaneBigDye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® Terminatory. Zestaw na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FC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746" w14:textId="0CBB4B7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1F7" w14:textId="0B8BA93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0CA" w14:textId="5803B33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9FA" w14:textId="3E65874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86F" w14:textId="7BC7E33D" w:rsidR="002C5230" w:rsidRPr="00E008A9" w:rsidRDefault="002C5230" w:rsidP="00A44E12">
            <w:pPr>
              <w:tabs>
                <w:tab w:val="left" w:pos="825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14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1BC66B6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A76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FD5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Formamid Hi-Di (wysoko dejonizowany):o przewodnictwie poniżej 30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stosowany w biologii molekularnej, w procesie elektroforetycznego rozdziału fragmentów DNA w warunkach denaturujących,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gwarantujący prawidłowość rozdziału zdenaturowanych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optycznie neutralny,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konfekcjonowany w opakowaniu 25ml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A00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BA5" w14:textId="6F53C21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96D" w14:textId="79CEA14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24E" w14:textId="314DE2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DA7" w14:textId="57D569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F46" w14:textId="53935F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0C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E6E4E3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B39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42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Zabezpieczenie gumowe do buforu katodowego, jednokrotnego użytku do aparatu genetycznego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10 sztuk.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A9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578" w14:textId="7B4AEF8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1478" w14:textId="600D06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1637" w14:textId="6FFC3F7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E8E" w14:textId="772C0D0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EBB" w14:textId="4D6357C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34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72A664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B9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DD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Zabezpieczenie gumowe na płytki 96-dołkowe do sekwencjonowania kapilarnego, jednokrotnego użytku do aparatu genetycznego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10 sztuk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78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C88" w14:textId="04D33CC0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FBE" w14:textId="1D85557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CF2" w14:textId="4C50BD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058" w14:textId="491F2EB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767" w14:textId="38E876B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8C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222FBB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49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256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Formamid Hi-Di (wysoko dejonizowany):o przewodnictwie poniżej 30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stosowany w biologii molekularnej, w procesie elektroforetycznego rozdziału fragmentów DNA w warunkach denaturujących,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gwarantujący prawidłowość rozdziału zdenaturowanych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optycznie neutralny,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konfekcjonowany fabrycznie w 4 tubkach po 5ml każda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49E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19A" w14:textId="36CE423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FF" w14:textId="7A4F5BA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9C6" w14:textId="3F1F20E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D5A" w14:textId="56F2E3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92A" w14:textId="2A2E8D6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76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7D3ED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300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DA2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GeneScan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600 LIZ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Size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Standard v2.0- lub równoważny barwnik fluorescencyjny wykorzystywany do analizy fragmentów 20-600 bp,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Odczynnik na 800 reakcji.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FBC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846" w14:textId="21CF98E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02E" w14:textId="7BC5035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4D9" w14:textId="7A3891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E08" w14:textId="02365A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D63" w14:textId="77777777" w:rsidR="002C5230" w:rsidRPr="00744D8E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5C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DD9FB9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10F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9F84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amplifikacji/PCR  z pozostałości starterów oraz wolnych nukleotydów, Odczynnik oczyszczający w trybie szybkim do 5 min. , zestaw na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A1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BC6" w14:textId="342A2DC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E56" w14:textId="47F5F5F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332" w14:textId="01B5A18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9B9" w14:textId="4B2C689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88B" w14:textId="6174715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80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2EE2D6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34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48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  z pozostałości starterów oraz wolnych nukleotydów, zestaw na 100 reakcji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058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6CD" w14:textId="512B5D9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2E8" w14:textId="56CFA09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23D" w14:textId="1AED50C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4B3" w14:textId="1468FE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0BE" w14:textId="77777777" w:rsidR="002C5230" w:rsidRPr="006B775D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50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803F81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4E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5137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amplifikacji/PCR  z pozostałości starterów oraz wolnych nukleotydów, zestaw na 500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B4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B90" w14:textId="07B3824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25B" w14:textId="2716274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525" w14:textId="6ECB02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5E0" w14:textId="3C539D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D5F" w14:textId="5E4947C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E0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EE1CF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F0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D9D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oznaczone kodem kreskowym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0,2 ml. Płytki  do aparatu 3500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veriti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SimpliAmp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20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B9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07D" w14:textId="0C9A2F7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074" w14:textId="0F0FD2B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7AB" w14:textId="215CA4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9AE" w14:textId="55B525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F35" w14:textId="173B36E1" w:rsidR="002C5230" w:rsidRPr="006B775D" w:rsidRDefault="002C5230" w:rsidP="00A44E12">
            <w:pPr>
              <w:tabs>
                <w:tab w:val="left" w:pos="7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10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BC8CE7C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CC0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1584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3.1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24 reakcji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06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DC9" w14:textId="121AE4B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014" w14:textId="0F6C881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1A8" w14:textId="7BEEEAD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22F" w14:textId="6922ED1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361" w14:textId="77777777" w:rsidR="002C5230" w:rsidRPr="006B775D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A1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3D8BBF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FD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2C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  z pozostałości starterów oraz wolnych nukleotydów, Odczynnik oczyszczający w trybie szybkim do 5 min. , zestaw na 500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836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423" w14:textId="2CC5BC3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30A" w14:textId="1156A3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034" w14:textId="3555B89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879" w14:textId="3CEEEF0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DEC" w14:textId="19B7D83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08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FB93589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36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347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 1-30 genów wykorzystywanych do wykrywania mutacji w nowotworach,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D82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8C0" w14:textId="38D355F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356" w14:textId="26B6EA8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E8A" w14:textId="7E47808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4DF" w14:textId="56C27D2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675" w14:textId="292A4C6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90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8A734F7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15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2D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z wykorzystaniem paneli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24 reakcje, kompat</w:t>
            </w:r>
            <w:bookmarkStart w:id="0" w:name="_GoBack"/>
            <w:bookmarkEnd w:id="0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ybilny ze starterami do przygotowania biblioteki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Oncomine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™ tumor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1D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E6" w14:textId="135DD56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F7D" w14:textId="6A9DF35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FC6" w14:textId="69C96E7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851" w14:textId="6CA7508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8CA" w14:textId="2DB750E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48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3D39A2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89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AC6" w14:textId="77777777" w:rsidR="002C5230" w:rsidRPr="005138F4" w:rsidRDefault="002C5230" w:rsidP="00A44E12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Panel ginekologiczny do 30 genów, modyfikowany do potrzeb badania endometrium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4E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DFE" w14:textId="6C2053B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F05" w14:textId="4AA1D9AA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953" w14:textId="18E8CDC4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C13" w14:textId="1F339506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CFE" w14:textId="55B86CD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69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058E657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28D" w14:textId="6A8A6E5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120" w14:textId="4A2ACA29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Zestaw umożliwiający fluorymetryczny pomiar stężenia RNA co najmniej w zakresie od 10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/ul do 100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/ul. Odczynnik kompatybilny z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fluorymetrem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Qubit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. Zestaw na co najmniej  100 oznaczeń.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3A9" w14:textId="4FE402DD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5B5" w14:textId="5BB7D19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2E9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C89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015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714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EC0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56B80BE3" w14:textId="77777777" w:rsidR="005138F4" w:rsidRDefault="005138F4" w:rsidP="00541C5A">
      <w:pPr>
        <w:pStyle w:val="Bezodstpw"/>
        <w:ind w:hanging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FF2FB9" w14:textId="31CB1381" w:rsidR="00541C5A" w:rsidRPr="00541C5A" w:rsidRDefault="00541C5A" w:rsidP="00541C5A">
      <w:pPr>
        <w:pStyle w:val="Bezodstpw"/>
        <w:ind w:hanging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1C5A">
        <w:rPr>
          <w:rFonts w:asciiTheme="minorHAnsi" w:hAnsiTheme="minorHAnsi" w:cstheme="minorHAnsi"/>
          <w:b/>
          <w:sz w:val="24"/>
          <w:szCs w:val="24"/>
        </w:rPr>
        <w:t>Odczynniki przydatne do użycia w okresie minimum 6 miesięcy od daty dostarczenia.</w:t>
      </w:r>
    </w:p>
    <w:p w14:paraId="6054D3B8" w14:textId="77777777" w:rsidR="00541C5A" w:rsidRDefault="00541C5A" w:rsidP="00E47FC4">
      <w:pPr>
        <w:pStyle w:val="Bezodstpw"/>
        <w:ind w:hanging="851"/>
        <w:rPr>
          <w:rFonts w:asciiTheme="minorHAnsi" w:hAnsiTheme="minorHAnsi" w:cstheme="minorHAnsi"/>
        </w:rPr>
      </w:pPr>
    </w:p>
    <w:p w14:paraId="3069ABC8" w14:textId="1BBE29BD" w:rsidR="00862C16" w:rsidRPr="00541C5A" w:rsidRDefault="00862C16" w:rsidP="00E47FC4">
      <w:pPr>
        <w:pStyle w:val="Bezodstpw"/>
        <w:ind w:hanging="851"/>
        <w:rPr>
          <w:rFonts w:asciiTheme="minorHAnsi" w:hAnsiTheme="minorHAnsi" w:cstheme="minorHAnsi"/>
          <w:b/>
          <w:sz w:val="24"/>
          <w:szCs w:val="24"/>
        </w:rPr>
      </w:pPr>
      <w:r w:rsidRPr="00541C5A">
        <w:rPr>
          <w:rFonts w:asciiTheme="minorHAnsi" w:hAnsiTheme="minorHAnsi" w:cstheme="minorHAnsi"/>
          <w:b/>
          <w:sz w:val="24"/>
          <w:szCs w:val="24"/>
        </w:rPr>
        <w:t>Termin dostawy: ………………. dni roboczych</w:t>
      </w:r>
      <w:r w:rsidR="006F7765" w:rsidRPr="00541C5A">
        <w:rPr>
          <w:rFonts w:asciiTheme="minorHAnsi" w:hAnsiTheme="minorHAnsi" w:cstheme="minorHAnsi"/>
          <w:b/>
          <w:sz w:val="24"/>
          <w:szCs w:val="24"/>
        </w:rPr>
        <w:t xml:space="preserve"> (max </w:t>
      </w:r>
      <w:r w:rsidR="00541C5A">
        <w:rPr>
          <w:rFonts w:asciiTheme="minorHAnsi" w:hAnsiTheme="minorHAnsi" w:cstheme="minorHAnsi"/>
          <w:b/>
          <w:sz w:val="24"/>
          <w:szCs w:val="24"/>
        </w:rPr>
        <w:t>2</w:t>
      </w:r>
      <w:r w:rsidR="006F7765" w:rsidRPr="00541C5A">
        <w:rPr>
          <w:rFonts w:asciiTheme="minorHAnsi" w:hAnsiTheme="minorHAnsi" w:cstheme="minorHAnsi"/>
          <w:b/>
          <w:sz w:val="24"/>
          <w:szCs w:val="24"/>
        </w:rPr>
        <w:t>5 dni)</w:t>
      </w:r>
      <w:r w:rsidRPr="00541C5A">
        <w:rPr>
          <w:rFonts w:asciiTheme="minorHAnsi" w:hAnsiTheme="minorHAnsi" w:cstheme="minorHAnsi"/>
          <w:b/>
          <w:sz w:val="24"/>
          <w:szCs w:val="24"/>
        </w:rPr>
        <w:t>.</w:t>
      </w:r>
    </w:p>
    <w:p w14:paraId="60EFF0BF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  <w:b/>
        </w:rPr>
      </w:pPr>
    </w:p>
    <w:p w14:paraId="6FF3A819" w14:textId="77777777" w:rsidR="00862C16" w:rsidRPr="00E008A9" w:rsidRDefault="00862C16" w:rsidP="00E47FC4">
      <w:pPr>
        <w:pStyle w:val="Bezodstpw"/>
        <w:ind w:hanging="851"/>
        <w:rPr>
          <w:rFonts w:asciiTheme="minorHAnsi" w:hAnsiTheme="minorHAnsi" w:cstheme="minorHAnsi"/>
          <w:bCs/>
        </w:rPr>
      </w:pPr>
      <w:r w:rsidRPr="00E008A9">
        <w:rPr>
          <w:rFonts w:asciiTheme="minorHAnsi" w:hAnsiTheme="minorHAnsi" w:cstheme="minorHAnsi"/>
          <w:bCs/>
        </w:rPr>
        <w:t>Osoba/y upoważniona/e do kontaktu:</w:t>
      </w:r>
    </w:p>
    <w:p w14:paraId="7184C9AE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……………………………………</w:t>
      </w:r>
    </w:p>
    <w:p w14:paraId="0E3A0922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Nr tel. …………………………….</w:t>
      </w:r>
    </w:p>
    <w:p w14:paraId="637D06A3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Nr fax…………………………….</w:t>
      </w:r>
    </w:p>
    <w:p w14:paraId="4E747846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Mail ……………………………..</w:t>
      </w:r>
    </w:p>
    <w:p w14:paraId="65370632" w14:textId="77777777" w:rsidR="00862C16" w:rsidRPr="00C43B03" w:rsidRDefault="00862C16" w:rsidP="00862C16">
      <w:pPr>
        <w:pStyle w:val="Bezodstpw"/>
        <w:rPr>
          <w:rFonts w:asciiTheme="minorHAnsi" w:hAnsiTheme="minorHAnsi" w:cstheme="minorHAnsi"/>
          <w:bCs/>
          <w:lang w:val="en-US"/>
        </w:rPr>
      </w:pPr>
    </w:p>
    <w:p w14:paraId="1A3F2540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</w:rPr>
      </w:pPr>
    </w:p>
    <w:p w14:paraId="1EB2701D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Na potrzeby postępowania o udzielenie zamówienia publicznego oświadczam, że wypełniłem obowiązki informacyjne przewidziane w art. 13 lub art. 14 rozporządzenia Parlamentu Europejskiego i Rady (UE)</w:t>
      </w:r>
    </w:p>
    <w:p w14:paraId="3E83BF6C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2016/679 z dnia 27 kwietnia 2016 r. w sprawie ochrony osób fizycznych w związku z przetwarzaniem danych osobowych  i w sprawie swobodnego przepływu takich danych oraz uchylenia dyrektywy 95/46/WE</w:t>
      </w:r>
    </w:p>
    <w:p w14:paraId="5F535AE0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(ogólne rozporządzenie o ochronie danych) (Dz. Urz. UE L 119 z 04.05.2016, str. 1), dalej RODO, wobec osób fizycznych, od których dane osobowe bezpośrednio lub pośrednio pozyskałem w celu ubiegania</w:t>
      </w:r>
    </w:p>
    <w:p w14:paraId="01252BBF" w14:textId="6DACDD00" w:rsidR="00862C16" w:rsidRPr="00812AE1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  <w:sectPr w:rsidR="00862C16" w:rsidRPr="00812AE1" w:rsidSect="00DA524F">
          <w:pgSz w:w="16838" w:h="11906" w:orient="landscape"/>
          <w:pgMar w:top="907" w:right="1134" w:bottom="1418" w:left="1134" w:header="709" w:footer="709" w:gutter="0"/>
          <w:cols w:space="708"/>
        </w:sectPr>
      </w:pPr>
      <w:r w:rsidRPr="001E4D9B">
        <w:rPr>
          <w:rFonts w:asciiTheme="minorHAnsi" w:hAnsiTheme="minorHAnsi" w:cstheme="minorHAnsi"/>
          <w:i/>
          <w:sz w:val="18"/>
          <w:szCs w:val="18"/>
        </w:rPr>
        <w:t>się o udzielenie zamówienia publicznego w niniejszym postępowaniu (wykonawca wykreśla powyższe oświadczenie w przypadku gdy go nie dotyczy.</w:t>
      </w:r>
      <w:r w:rsidR="00862C16" w:rsidRPr="00E008A9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DEA8672" w14:textId="3EF4C083" w:rsidR="00933AFA" w:rsidRPr="00E008A9" w:rsidRDefault="00933AFA" w:rsidP="005138F4">
      <w:pPr>
        <w:pStyle w:val="Bezodstpw"/>
        <w:rPr>
          <w:rFonts w:asciiTheme="minorHAnsi" w:hAnsiTheme="minorHAnsi" w:cstheme="minorHAnsi"/>
        </w:rPr>
      </w:pPr>
    </w:p>
    <w:sectPr w:rsidR="00933AFA" w:rsidRPr="00E008A9" w:rsidSect="005138F4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A4441"/>
    <w:multiLevelType w:val="hybridMultilevel"/>
    <w:tmpl w:val="564C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6"/>
    <w:rsid w:val="00015FEA"/>
    <w:rsid w:val="00037295"/>
    <w:rsid w:val="00042398"/>
    <w:rsid w:val="000667D1"/>
    <w:rsid w:val="00066E27"/>
    <w:rsid w:val="00074890"/>
    <w:rsid w:val="00080DE9"/>
    <w:rsid w:val="000855E0"/>
    <w:rsid w:val="000C27A1"/>
    <w:rsid w:val="00126390"/>
    <w:rsid w:val="00142371"/>
    <w:rsid w:val="00165A38"/>
    <w:rsid w:val="00176838"/>
    <w:rsid w:val="00176860"/>
    <w:rsid w:val="00194276"/>
    <w:rsid w:val="001B3857"/>
    <w:rsid w:val="001E4D9B"/>
    <w:rsid w:val="001F2F3B"/>
    <w:rsid w:val="00202F36"/>
    <w:rsid w:val="00204F19"/>
    <w:rsid w:val="002168E0"/>
    <w:rsid w:val="00220E4C"/>
    <w:rsid w:val="002225C8"/>
    <w:rsid w:val="0022560B"/>
    <w:rsid w:val="00226839"/>
    <w:rsid w:val="0024563D"/>
    <w:rsid w:val="00250A8D"/>
    <w:rsid w:val="00277ACC"/>
    <w:rsid w:val="00281DAC"/>
    <w:rsid w:val="00294827"/>
    <w:rsid w:val="002B316F"/>
    <w:rsid w:val="002C091B"/>
    <w:rsid w:val="002C1CE5"/>
    <w:rsid w:val="002C5230"/>
    <w:rsid w:val="002D4612"/>
    <w:rsid w:val="002E5987"/>
    <w:rsid w:val="00364DAD"/>
    <w:rsid w:val="00372FDE"/>
    <w:rsid w:val="00383E12"/>
    <w:rsid w:val="00386B9D"/>
    <w:rsid w:val="0039653D"/>
    <w:rsid w:val="003B0410"/>
    <w:rsid w:val="003B3D1C"/>
    <w:rsid w:val="003C2578"/>
    <w:rsid w:val="003C7C24"/>
    <w:rsid w:val="003D6530"/>
    <w:rsid w:val="003D75D4"/>
    <w:rsid w:val="00425A68"/>
    <w:rsid w:val="00455EC5"/>
    <w:rsid w:val="004825B4"/>
    <w:rsid w:val="004827E7"/>
    <w:rsid w:val="00490284"/>
    <w:rsid w:val="004B2D68"/>
    <w:rsid w:val="004C7865"/>
    <w:rsid w:val="004D1A65"/>
    <w:rsid w:val="004E21DC"/>
    <w:rsid w:val="004E2F8C"/>
    <w:rsid w:val="004F6751"/>
    <w:rsid w:val="005138F4"/>
    <w:rsid w:val="00522020"/>
    <w:rsid w:val="00541C5A"/>
    <w:rsid w:val="00547B38"/>
    <w:rsid w:val="00557F97"/>
    <w:rsid w:val="00570B86"/>
    <w:rsid w:val="005971BD"/>
    <w:rsid w:val="005D0FA0"/>
    <w:rsid w:val="005D2788"/>
    <w:rsid w:val="005E5E84"/>
    <w:rsid w:val="005E6FDA"/>
    <w:rsid w:val="00607F43"/>
    <w:rsid w:val="006275A4"/>
    <w:rsid w:val="00635CA0"/>
    <w:rsid w:val="00671D05"/>
    <w:rsid w:val="006757B0"/>
    <w:rsid w:val="0068241E"/>
    <w:rsid w:val="006B775D"/>
    <w:rsid w:val="006C07EF"/>
    <w:rsid w:val="006E3DD8"/>
    <w:rsid w:val="006E4549"/>
    <w:rsid w:val="006E7A66"/>
    <w:rsid w:val="006F3C01"/>
    <w:rsid w:val="006F7765"/>
    <w:rsid w:val="0071033E"/>
    <w:rsid w:val="00713487"/>
    <w:rsid w:val="00721CC5"/>
    <w:rsid w:val="00730E94"/>
    <w:rsid w:val="007316EF"/>
    <w:rsid w:val="0073761E"/>
    <w:rsid w:val="00744D8E"/>
    <w:rsid w:val="00764565"/>
    <w:rsid w:val="00764921"/>
    <w:rsid w:val="007759E9"/>
    <w:rsid w:val="00784BF5"/>
    <w:rsid w:val="007A2478"/>
    <w:rsid w:val="007B7889"/>
    <w:rsid w:val="007C16F9"/>
    <w:rsid w:val="007C267C"/>
    <w:rsid w:val="007C354E"/>
    <w:rsid w:val="007C533A"/>
    <w:rsid w:val="007E0B78"/>
    <w:rsid w:val="007F6178"/>
    <w:rsid w:val="00802747"/>
    <w:rsid w:val="00812AE1"/>
    <w:rsid w:val="008219FF"/>
    <w:rsid w:val="00827ADA"/>
    <w:rsid w:val="00840B70"/>
    <w:rsid w:val="00862C16"/>
    <w:rsid w:val="00877448"/>
    <w:rsid w:val="008A3E34"/>
    <w:rsid w:val="00933AFA"/>
    <w:rsid w:val="009615BC"/>
    <w:rsid w:val="00970C57"/>
    <w:rsid w:val="00972E35"/>
    <w:rsid w:val="00997AD0"/>
    <w:rsid w:val="009A3D12"/>
    <w:rsid w:val="009B6E3F"/>
    <w:rsid w:val="009E32D3"/>
    <w:rsid w:val="009F2AEF"/>
    <w:rsid w:val="00A332A7"/>
    <w:rsid w:val="00A336E7"/>
    <w:rsid w:val="00A44E12"/>
    <w:rsid w:val="00A471B2"/>
    <w:rsid w:val="00A72FEF"/>
    <w:rsid w:val="00A91493"/>
    <w:rsid w:val="00AB00D1"/>
    <w:rsid w:val="00AB1EB0"/>
    <w:rsid w:val="00AB2024"/>
    <w:rsid w:val="00AC747A"/>
    <w:rsid w:val="00AE1C0D"/>
    <w:rsid w:val="00AE727A"/>
    <w:rsid w:val="00B07848"/>
    <w:rsid w:val="00B15D2A"/>
    <w:rsid w:val="00B2282C"/>
    <w:rsid w:val="00B32E9E"/>
    <w:rsid w:val="00B40180"/>
    <w:rsid w:val="00B516EC"/>
    <w:rsid w:val="00B71C57"/>
    <w:rsid w:val="00B84355"/>
    <w:rsid w:val="00BA16CE"/>
    <w:rsid w:val="00BB1C9A"/>
    <w:rsid w:val="00BE1A88"/>
    <w:rsid w:val="00BF028D"/>
    <w:rsid w:val="00C011CF"/>
    <w:rsid w:val="00C14716"/>
    <w:rsid w:val="00C43B03"/>
    <w:rsid w:val="00C47F5E"/>
    <w:rsid w:val="00C510B1"/>
    <w:rsid w:val="00C62198"/>
    <w:rsid w:val="00C62F9E"/>
    <w:rsid w:val="00C67382"/>
    <w:rsid w:val="00C853F4"/>
    <w:rsid w:val="00C971C7"/>
    <w:rsid w:val="00CA5016"/>
    <w:rsid w:val="00CB16D9"/>
    <w:rsid w:val="00CB4CAF"/>
    <w:rsid w:val="00CB68A0"/>
    <w:rsid w:val="00D0350A"/>
    <w:rsid w:val="00D045C6"/>
    <w:rsid w:val="00D26ADD"/>
    <w:rsid w:val="00D3484A"/>
    <w:rsid w:val="00D35BED"/>
    <w:rsid w:val="00D47179"/>
    <w:rsid w:val="00D51A58"/>
    <w:rsid w:val="00D66551"/>
    <w:rsid w:val="00D7179E"/>
    <w:rsid w:val="00DA524F"/>
    <w:rsid w:val="00DB1BE6"/>
    <w:rsid w:val="00DB7AB3"/>
    <w:rsid w:val="00DF4F8A"/>
    <w:rsid w:val="00E008A9"/>
    <w:rsid w:val="00E42F67"/>
    <w:rsid w:val="00E47FC4"/>
    <w:rsid w:val="00E53257"/>
    <w:rsid w:val="00E663A8"/>
    <w:rsid w:val="00E91EDD"/>
    <w:rsid w:val="00E95D7F"/>
    <w:rsid w:val="00EA26DA"/>
    <w:rsid w:val="00F157B1"/>
    <w:rsid w:val="00F42F46"/>
    <w:rsid w:val="00F80C4F"/>
    <w:rsid w:val="00F95FA4"/>
    <w:rsid w:val="00FA7067"/>
    <w:rsid w:val="00FB060E"/>
    <w:rsid w:val="00FC5DD6"/>
    <w:rsid w:val="00FD0875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1C4"/>
  <w15:chartTrackingRefBased/>
  <w15:docId w15:val="{C0C96B5D-8FD7-48F8-92E4-9D46001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2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862C16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62C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91B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D7179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179E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rsid w:val="00A44E1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4E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13"/>
    <w:basedOn w:val="Tekstpodstawowy"/>
    <w:rsid w:val="00A44E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Zamówienia Publiczne</cp:lastModifiedBy>
  <cp:revision>16</cp:revision>
  <cp:lastPrinted>2025-09-17T12:16:00Z</cp:lastPrinted>
  <dcterms:created xsi:type="dcterms:W3CDTF">2025-09-15T09:41:00Z</dcterms:created>
  <dcterms:modified xsi:type="dcterms:W3CDTF">2025-09-17T12:18:00Z</dcterms:modified>
</cp:coreProperties>
</file>