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A0" w:rsidRPr="005939A0" w:rsidRDefault="005939A0" w:rsidP="005939A0">
      <w:pPr>
        <w:spacing w:after="60" w:line="276" w:lineRule="auto"/>
        <w:jc w:val="right"/>
        <w:rPr>
          <w:rFonts w:ascii="Cambria" w:eastAsia="Batang" w:hAnsi="Cambria" w:cs="Arial"/>
          <w:b/>
          <w:bCs/>
          <w:sz w:val="24"/>
          <w:szCs w:val="24"/>
          <w:lang w:eastAsia="pl-PL"/>
        </w:rPr>
      </w:pPr>
      <w:r w:rsidRPr="005939A0">
        <w:rPr>
          <w:rFonts w:ascii="Cambria" w:eastAsia="Batang" w:hAnsi="Cambria" w:cs="Arial"/>
          <w:b/>
          <w:bCs/>
          <w:sz w:val="24"/>
          <w:szCs w:val="24"/>
          <w:lang w:eastAsia="pl-PL"/>
        </w:rPr>
        <w:t>Załącznik nr 3</w:t>
      </w:r>
    </w:p>
    <w:p w:rsidR="005939A0" w:rsidRPr="005939A0" w:rsidRDefault="005939A0" w:rsidP="005939A0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5939A0">
        <w:rPr>
          <w:rFonts w:ascii="Cambria" w:eastAsia="Times New Roman" w:hAnsi="Cambria" w:cs="Times New Roman"/>
          <w:sz w:val="24"/>
          <w:szCs w:val="24"/>
        </w:rPr>
        <w:t>Wzór umowy zawierający istotne dla zamawiającego postanowienia, które zostaną wprowadzone do treści zawieranej umowy.</w:t>
      </w:r>
    </w:p>
    <w:p w:rsidR="005939A0" w:rsidRPr="005939A0" w:rsidRDefault="005939A0" w:rsidP="005939A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939A0">
        <w:rPr>
          <w:rFonts w:ascii="Cambria" w:eastAsia="Times New Roman" w:hAnsi="Cambria" w:cs="Times New Roman"/>
          <w:b/>
          <w:sz w:val="24"/>
          <w:szCs w:val="24"/>
          <w:lang w:eastAsia="pl-PL"/>
        </w:rPr>
        <w:t>UMOWA</w:t>
      </w:r>
    </w:p>
    <w:p w:rsidR="005939A0" w:rsidRPr="005939A0" w:rsidRDefault="005939A0" w:rsidP="005939A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939A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NR </w:t>
      </w:r>
      <w:proofErr w:type="spellStart"/>
      <w:r w:rsidRPr="005939A0">
        <w:rPr>
          <w:rFonts w:ascii="Cambria" w:eastAsia="Times New Roman" w:hAnsi="Cambria" w:cs="Times New Roman"/>
          <w:b/>
          <w:sz w:val="24"/>
          <w:szCs w:val="24"/>
          <w:lang w:eastAsia="pl-PL"/>
        </w:rPr>
        <w:t>SZPiGM</w:t>
      </w:r>
      <w:proofErr w:type="spellEnd"/>
      <w:r w:rsidRPr="005939A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3810/6/2024</w:t>
      </w: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 ………………….. w Brzozowie pomiędzy:</w:t>
      </w: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Szpital Specjalistyczny w Brzozowie, Podkarpacki Ośrodek Onkologiczny im. Ks. B. Markiewicza </w:t>
      </w:r>
      <w:r w:rsidRPr="005939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ul. Ks. J. Bielawskiego 18</w:t>
      </w:r>
      <w:r w:rsidRPr="005939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, </w:t>
      </w:r>
      <w:r w:rsidRPr="005939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36-200 Brzozów </w:t>
      </w:r>
      <w:r w:rsidRPr="005939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wpisany do publicznych zakładów opieki zdrowotnej pod numerem,</w:t>
      </w:r>
      <w:r w:rsidRPr="005939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REGON 000304473 , NIP  6861441430 , KRS:  0000007954 </w:t>
      </w:r>
      <w:r w:rsidRPr="005939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reprezentowanym przez ………………………………… zwanym dalej                         w umowie </w:t>
      </w:r>
      <w:r w:rsidRPr="005939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Zamawiającym </w:t>
      </w: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5939A0" w:rsidRPr="005939A0" w:rsidRDefault="005939A0" w:rsidP="005939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A0">
        <w:rPr>
          <w:rFonts w:ascii="Times New Roman" w:eastAsia="Times New Roman" w:hAnsi="Times New Roman" w:cs="Times New Roman"/>
          <w:sz w:val="24"/>
          <w:szCs w:val="24"/>
        </w:rPr>
        <w:t>Firmą:</w:t>
      </w:r>
    </w:p>
    <w:p w:rsidR="005939A0" w:rsidRPr="005939A0" w:rsidRDefault="005939A0" w:rsidP="005939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9A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9A0">
        <w:rPr>
          <w:rFonts w:ascii="Times New Roman" w:eastAsia="Times New Roman" w:hAnsi="Times New Roman" w:cs="Times New Roman"/>
          <w:sz w:val="24"/>
          <w:szCs w:val="24"/>
        </w:rPr>
        <w:t>reprezentowaną przez:</w:t>
      </w: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9A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9A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zwaną dalej </w:t>
      </w: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</w:t>
      </w: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939A0" w:rsidRPr="005939A0" w:rsidRDefault="005939A0" w:rsidP="005939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</w:t>
      </w:r>
    </w:p>
    <w:p w:rsidR="005939A0" w:rsidRPr="005939A0" w:rsidRDefault="005939A0" w:rsidP="005939A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Definicje</w:t>
      </w:r>
    </w:p>
    <w:p w:rsidR="005939A0" w:rsidRPr="005939A0" w:rsidRDefault="005939A0" w:rsidP="005939A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użyte w niniejszej umowie określenia, należy rozumieć:</w:t>
      </w:r>
    </w:p>
    <w:p w:rsidR="005939A0" w:rsidRPr="005939A0" w:rsidRDefault="005939A0" w:rsidP="005939A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„Informacje handlowe” 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wszelkie informacje udostępnione przez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Zamawiającego Wykonawcy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przez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Wykonawcę Zamawiającemu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>, niezależnie od formy ich utrwalenia i udostępnienia (np. pisemnej, elektronicznej, ustnej lub innej), obejmujące w szczególności:</w:t>
      </w:r>
    </w:p>
    <w:p w:rsidR="005939A0" w:rsidRPr="005939A0" w:rsidRDefault="005939A0" w:rsidP="005939A0">
      <w:pPr>
        <w:numPr>
          <w:ilvl w:val="1"/>
          <w:numId w:val="13"/>
        </w:numPr>
        <w:suppressAutoHyphens/>
        <w:autoSpaceDE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informacje o charakterze biznesowym, prawnym, finansowym, operacyjnym, medycznym, technicznym, handlowym lub organizacyjnym dotyczące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Stron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do których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Strony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uzyskały dostęp w ramach realizacji przedmiotu niniejszej umowy,</w:t>
      </w:r>
    </w:p>
    <w:p w:rsidR="005939A0" w:rsidRPr="005939A0" w:rsidRDefault="005939A0" w:rsidP="005939A0">
      <w:pPr>
        <w:numPr>
          <w:ilvl w:val="1"/>
          <w:numId w:val="10"/>
        </w:numPr>
        <w:suppressAutoHyphens/>
        <w:autoSpaceDE w:val="0"/>
        <w:spacing w:after="0" w:line="240" w:lineRule="auto"/>
        <w:ind w:left="1134" w:hanging="49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zestawienia, analizy, prognozy, metody analityczne i prognostyczne, opracowania i wszelkiego innego rodzaju dokumenty przygotowane przez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Wykonawcę                      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przekazane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Zamawiającemu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5939A0" w:rsidRPr="005939A0" w:rsidRDefault="005939A0" w:rsidP="005939A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„Pomysły Optymalizacyjne”</w:t>
      </w: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idee, rozwiązania organizacyjne, oraz inne materiały, niezależnie od sposobu ich wyrażenia oraz niezależnie od tego, czy stanowią one przedmiot ochrony prawa autorskiego lub innych praw bezwzględnych opracowane przez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Wykonawcę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5939A0" w:rsidRPr="005939A0" w:rsidRDefault="005939A0" w:rsidP="005939A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SPS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Symulator Pracy Szpitala – raport, który zawiera wyniki analiz oferowanych w ramach usługi. Raport ma postać pliku komputerowego w formacie zgodnym                      z programem MS Excel 2007.  Oprócz prezentacji danych raport udostępnia funkcje pozwalające na zmiany danych (dla celów symulacji). W szczególności dotyczy                     to funkcji 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samodzielnego modelowania zmian w pracy szpitala na bazie osiąganych wyników.</w:t>
      </w:r>
    </w:p>
    <w:p w:rsidR="005939A0" w:rsidRPr="005939A0" w:rsidRDefault="005939A0" w:rsidP="005939A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RWR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- Raport Weryfikacji Rozliczeń - raport zawierający weryfikację rozliczeń                      z NFZ, ze wskazaniem przypadków błędnych i nieoptymalnych oraz zaproponowaniem korekt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5939A0" w:rsidRPr="005939A0" w:rsidRDefault="005939A0" w:rsidP="005939A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RWR AOS 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>– raport zawierający weryfikację rozliczeń z NFZ w zakresie AOS,                    ze wskazaniem przypadków błędnych i nieoptymalnych oraz zaproponowaniem korekt.</w:t>
      </w:r>
    </w:p>
    <w:p w:rsidR="005939A0" w:rsidRPr="005939A0" w:rsidRDefault="005939A0" w:rsidP="005939A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RPOW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Raport Przypadków Powikłanych i Przedłużonych prezentujący                        </w:t>
      </w:r>
      <w:r w:rsidR="000865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i porównujący wskaźniki analizowane przy akredytacji. </w:t>
      </w:r>
    </w:p>
    <w:p w:rsidR="005939A0" w:rsidRPr="005939A0" w:rsidRDefault="005939A0" w:rsidP="005939A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/>
          <w:sz w:val="24"/>
          <w:szCs w:val="24"/>
        </w:rPr>
        <w:t>Raport JGP</w:t>
      </w:r>
      <w:r w:rsidRPr="005939A0">
        <w:rPr>
          <w:rFonts w:ascii="Times New Roman" w:eastAsia="Calibri" w:hAnsi="Times New Roman" w:cs="Times New Roman"/>
          <w:sz w:val="24"/>
          <w:szCs w:val="24"/>
        </w:rPr>
        <w:t xml:space="preserve"> - raport, który przedstawia zestaw danych dotyczących poszczególnych przypadków, uporządkowanych według grup JGP, którymi zostały rozliczone. Przedstawia on dane ze szpitala zestawione z benchmarkami dla poszczególnych cech, z podziałem na grupy JGP oraz specjalizacje oddziałów.</w:t>
      </w:r>
    </w:p>
    <w:p w:rsidR="005939A0" w:rsidRPr="005939A0" w:rsidRDefault="005939A0" w:rsidP="005939A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AZŁ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Analiza Zajętości Łóżek - raport pokazujący zajętość łóżek w analizowanym okresie, który może również służyć do planowania i optymalizacji zasobów łóżkowych. Odpowiada między innymi na pytania: jakie są tendencje w zakresie obłożenia łóżek </w:t>
      </w:r>
      <w:r w:rsidR="000865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>w analizowanym okresie w poszczególnych dniach tygodnia, jaki jest rozkład przyjęć, w tym przyjęć planowych, jak kształtują się współczynniki dotyczące obłożenia, czasu pobytu, liczby przyjęć i liczby wypisów.</w:t>
      </w:r>
    </w:p>
    <w:p w:rsidR="005939A0" w:rsidRPr="005939A0" w:rsidRDefault="005939A0" w:rsidP="005939A0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ar-SA"/>
        </w:rPr>
        <w:t>Raport SOR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przedstawiający obciążenia SOR w stosunku do jego zasobów i czasów oczekiwania.</w:t>
      </w:r>
    </w:p>
    <w:p w:rsidR="005939A0" w:rsidRPr="005939A0" w:rsidRDefault="005939A0" w:rsidP="005939A0">
      <w:pPr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9A0" w:rsidRPr="005939A0" w:rsidRDefault="005939A0" w:rsidP="0059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§2</w:t>
      </w:r>
    </w:p>
    <w:p w:rsidR="005939A0" w:rsidRPr="005939A0" w:rsidRDefault="005939A0" w:rsidP="0059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umowy</w:t>
      </w: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niniejszej umowy jest 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usługa doradcza obejmująca analizy w zakresie </w:t>
      </w:r>
      <w:proofErr w:type="spellStart"/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benchmarkingu</w:t>
      </w:r>
      <w:proofErr w:type="spellEnd"/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i optymalizacji pracy Zamawiającego za okres </w:t>
      </w:r>
      <w:r w:rsidRPr="005939A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01.01.2024r. - 31.12.2024r.,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świadczona przez </w:t>
      </w:r>
      <w:r w:rsidRPr="005939A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Wykonawcę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na rzecz </w:t>
      </w:r>
      <w:r w:rsidRPr="005939A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Zamawiającego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przez okres 12 miesięcy.</w:t>
      </w: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939A0" w:rsidRPr="005939A0" w:rsidRDefault="005939A0" w:rsidP="0059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§3</w:t>
      </w:r>
    </w:p>
    <w:p w:rsidR="005939A0" w:rsidRPr="005939A0" w:rsidRDefault="005939A0" w:rsidP="0059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Sposób wykonania usługi</w:t>
      </w:r>
    </w:p>
    <w:p w:rsidR="005939A0" w:rsidRPr="005939A0" w:rsidRDefault="005939A0" w:rsidP="005939A0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Usługa polega na:</w:t>
      </w:r>
    </w:p>
    <w:p w:rsidR="005939A0" w:rsidRPr="005939A0" w:rsidRDefault="005939A0" w:rsidP="005939A0">
      <w:pPr>
        <w:numPr>
          <w:ilvl w:val="1"/>
          <w:numId w:val="1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Czterech kwartalnych kalkulacjach wskaźników efektywności </w:t>
      </w: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pracy Zamawiającego</w:t>
      </w:r>
      <w:r w:rsidRPr="005939A0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prezentowanych narastająco (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czas pobytu, zyski/straty, przychody, udział kosztów rodzajowych) w odniesieniu do jednostek organizacyjnych i przypadków medycznych za okres: </w:t>
      </w:r>
    </w:p>
    <w:p w:rsidR="005939A0" w:rsidRPr="005939A0" w:rsidRDefault="005939A0" w:rsidP="005939A0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I-III 2024 r. </w:t>
      </w:r>
    </w:p>
    <w:p w:rsidR="005939A0" w:rsidRPr="005939A0" w:rsidRDefault="005939A0" w:rsidP="005939A0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I- VI 2024 r.</w:t>
      </w:r>
    </w:p>
    <w:p w:rsidR="005939A0" w:rsidRPr="005939A0" w:rsidRDefault="005939A0" w:rsidP="005939A0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I- IX 2024 r.</w:t>
      </w:r>
    </w:p>
    <w:p w:rsidR="005939A0" w:rsidRPr="005939A0" w:rsidRDefault="005939A0" w:rsidP="005939A0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I- XII 2024 r. </w:t>
      </w:r>
    </w:p>
    <w:p w:rsidR="005939A0" w:rsidRPr="005939A0" w:rsidRDefault="005939A0" w:rsidP="005939A0">
      <w:pPr>
        <w:numPr>
          <w:ilvl w:val="1"/>
          <w:numId w:val="1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Weryfikacji osiągniętych wyników poszczególnych oddziałów i </w:t>
      </w: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całości funkcjonowania  Zamawiającego oraz ich porównanie z uśrednionymi wynikami              </w:t>
      </w:r>
      <w:r w:rsidR="002166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co najmniej 200</w:t>
      </w: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szpitali (</w:t>
      </w:r>
      <w:proofErr w:type="spellStart"/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benchmarking</w:t>
      </w:r>
      <w:proofErr w:type="spellEnd"/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);</w:t>
      </w:r>
    </w:p>
    <w:p w:rsidR="005939A0" w:rsidRPr="005939A0" w:rsidRDefault="005939A0" w:rsidP="005939A0">
      <w:pPr>
        <w:numPr>
          <w:ilvl w:val="1"/>
          <w:numId w:val="1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Udostępnieniu funkcji do samodzielnego modelowania zmian w pracy Zamawiającego              na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bazie osiąganych wyników;</w:t>
      </w:r>
    </w:p>
    <w:p w:rsidR="005939A0" w:rsidRPr="005939A0" w:rsidRDefault="005939A0" w:rsidP="005939A0">
      <w:pPr>
        <w:numPr>
          <w:ilvl w:val="1"/>
          <w:numId w:val="1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Weryfikacji rozliczeń z NFZ, ze wskazaniem przypadków błędnych i nieoptymalnych oraz zaproponowaniem korekt - RWR z aktualizacją w ciągu 3 dni roboczych                      od momentu otrzymania komunikatów rozliczeniowych od Zamawiającego;</w:t>
      </w:r>
    </w:p>
    <w:p w:rsidR="005939A0" w:rsidRPr="005939A0" w:rsidRDefault="005939A0" w:rsidP="005939A0">
      <w:pPr>
        <w:numPr>
          <w:ilvl w:val="1"/>
          <w:numId w:val="1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Weryfikacji rozliczeń z NFZ w zakresie AOS, </w:t>
      </w:r>
      <w:r w:rsidRPr="0059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obejmującego ambulatoryjne świadczenia specjalistyczne i zabiegowe, w wersji elektronicznej i udostępnienie </w:t>
      </w:r>
      <w:r w:rsidR="00553D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raportu</w:t>
      </w:r>
      <w:r w:rsidRPr="0059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Zamawiającemu. Raport wskaże wszystkie przypadki błędnie lub nieoptymalnie rozliczone. Dla każdego przypadku raport będzie wskazywał sposób korekty i jej potencjalną wartość;</w:t>
      </w:r>
    </w:p>
    <w:p w:rsidR="005939A0" w:rsidRPr="005939A0" w:rsidRDefault="005939A0" w:rsidP="005939A0">
      <w:pPr>
        <w:numPr>
          <w:ilvl w:val="1"/>
          <w:numId w:val="1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Opracowaniu Raportu Zajętości Łóżek AZŁ z aktualizacją w ciągu 3 dni roboczych                    od momentu otrzymania komunikatów rozliczeniowych od Zamawiająceg</w:t>
      </w:r>
      <w:r w:rsidR="00086568">
        <w:rPr>
          <w:rFonts w:ascii="Times New Roman" w:eastAsia="SimSun" w:hAnsi="Times New Roman" w:cs="Times New Roman"/>
          <w:sz w:val="24"/>
          <w:szCs w:val="24"/>
          <w:lang w:eastAsia="ar-SA"/>
        </w:rPr>
        <w:t>o                             (z uwzględnieniem czasu pobytu, liczby przyjęć i liczby wypisów w analizowanym okresie)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; </w:t>
      </w:r>
    </w:p>
    <w:p w:rsidR="005939A0" w:rsidRPr="005939A0" w:rsidRDefault="005939A0" w:rsidP="005939A0">
      <w:pPr>
        <w:numPr>
          <w:ilvl w:val="1"/>
          <w:numId w:val="1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Kalkulacji Rachunku Kosztów Leczenia poszczególnych pacjentów z okresu objętego </w:t>
      </w: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analizą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5939A0" w:rsidRPr="005939A0" w:rsidRDefault="005939A0" w:rsidP="005939A0">
      <w:pPr>
        <w:numPr>
          <w:ilvl w:val="1"/>
          <w:numId w:val="1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Opracowaniu czterech Raportów Jednorodnych Grup Pacjentów – JGP z aktualizacją kwartalną; </w:t>
      </w:r>
    </w:p>
    <w:p w:rsidR="005939A0" w:rsidRPr="005939A0" w:rsidRDefault="005939A0" w:rsidP="005939A0">
      <w:pPr>
        <w:numPr>
          <w:ilvl w:val="1"/>
          <w:numId w:val="11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Opracowaniu czterech Raportów Przypadków Powikłanych i Przedłużonych zgodnych                z CMJ –  RPOW z aktualizacją kwartalną;</w:t>
      </w:r>
    </w:p>
    <w:p w:rsidR="005939A0" w:rsidRPr="005939A0" w:rsidRDefault="005939A0" w:rsidP="005939A0">
      <w:pPr>
        <w:numPr>
          <w:ilvl w:val="1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hanging="21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Opracowaniu czterech raportów SOR z aktualizacją kwartalną;</w:t>
      </w:r>
    </w:p>
    <w:p w:rsidR="005939A0" w:rsidRPr="005939A0" w:rsidRDefault="005939A0" w:rsidP="005939A0">
      <w:pPr>
        <w:numPr>
          <w:ilvl w:val="1"/>
          <w:numId w:val="11"/>
        </w:numPr>
        <w:suppressAutoHyphens/>
        <w:autoSpaceDE w:val="0"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Opracowaniu czterech kompleksowych opisów analizy – dla kadry zarządzającej Zamawiającego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oraz indywidualnych opisów dla Ordynatorów poszczególnych oddziałów, przekazywanych w formie elektronicznej oraz zwartych wydruków; </w:t>
      </w:r>
    </w:p>
    <w:p w:rsidR="005939A0" w:rsidRPr="005939A0" w:rsidRDefault="00553DC3" w:rsidP="005939A0">
      <w:pPr>
        <w:numPr>
          <w:ilvl w:val="1"/>
          <w:numId w:val="11"/>
        </w:numPr>
        <w:suppressAutoHyphens/>
        <w:autoSpaceDE w:val="0"/>
        <w:spacing w:after="0" w:line="240" w:lineRule="auto"/>
        <w:ind w:left="709" w:hanging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Ośmiu</w:t>
      </w:r>
      <w:r w:rsidR="005939A0"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jednodniowych, ośmiogodzinnych wizytach konsultacyjnych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(2 kwartalnie)</w:t>
      </w:r>
      <w:r w:rsidR="005939A0"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połączonych   z  prezentacją raportów kwartalnych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oraz ośmiu czterogodzinnych wideokonferencji (2 kwartalnie)</w:t>
      </w:r>
      <w:r w:rsidR="005939A0"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 celu prezentacji, konsultacji i szkolenia;</w:t>
      </w:r>
    </w:p>
    <w:p w:rsidR="005939A0" w:rsidRPr="005939A0" w:rsidRDefault="005939A0" w:rsidP="005939A0">
      <w:pPr>
        <w:numPr>
          <w:ilvl w:val="0"/>
          <w:numId w:val="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Analiza będzie opierać się na danych </w:t>
      </w: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dostarczonych przez Zamawiającego, zgodnie                  z poniższymi zasadami:</w:t>
      </w:r>
    </w:p>
    <w:p w:rsidR="005939A0" w:rsidRDefault="005939A0" w:rsidP="005939A0">
      <w:pPr>
        <w:numPr>
          <w:ilvl w:val="1"/>
          <w:numId w:val="12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Zamawiający zobowiązuje się dostarczyć co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miesiąc dane dotyczące kolejnych  miesięcy; </w:t>
      </w:r>
    </w:p>
    <w:p w:rsidR="00216631" w:rsidRPr="00216631" w:rsidRDefault="00216631" w:rsidP="0021663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16631">
        <w:rPr>
          <w:rFonts w:ascii="Times New Roman" w:eastAsia="SimSun" w:hAnsi="Times New Roman" w:cs="Times New Roman"/>
          <w:sz w:val="24"/>
          <w:szCs w:val="24"/>
          <w:lang w:eastAsia="ar-SA"/>
        </w:rPr>
        <w:t>Analizy działalności oddziałów będą dokonywane z dokładnością do poszczególnych diagnoz i procedur medycznych.</w:t>
      </w:r>
    </w:p>
    <w:p w:rsidR="005939A0" w:rsidRPr="005939A0" w:rsidRDefault="005939A0" w:rsidP="00216631">
      <w:pPr>
        <w:numPr>
          <w:ilvl w:val="0"/>
          <w:numId w:val="1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Zamawiający zobowiązuje się dostarczyć dane w </w:t>
      </w:r>
      <w:r w:rsidRPr="005939A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ciągu 45 dni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po zakończeniu miesiąca,     którego  dotyczą dane</w:t>
      </w:r>
      <w:r w:rsidRPr="005939A0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. 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 przekroczenia wskazanego terminu w przesłaniu danych we Wykonawca  przystąpi do opracowania raportów z wykorzystaniem predykcji. </w:t>
      </w:r>
    </w:p>
    <w:p w:rsidR="005939A0" w:rsidRPr="005939A0" w:rsidRDefault="005939A0" w:rsidP="00216631">
      <w:pPr>
        <w:numPr>
          <w:ilvl w:val="0"/>
          <w:numId w:val="18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Raporty, o których mowa w 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 1, pkt. 1.1, 1.2, 1.3, 1.7, 1.8, 1.9, 1.10, 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niniejszej umowy </w:t>
      </w: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będą dostarczane przez </w:t>
      </w:r>
      <w:r w:rsidRPr="005939A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Wykonawcę</w:t>
      </w: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</w:t>
      </w:r>
      <w:r w:rsidRPr="005939A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ciągu 15 dni roboczych</w:t>
      </w: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od daty otrzymania od </w:t>
      </w:r>
      <w:r w:rsidRPr="005939A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Zamawiającego</w:t>
      </w: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następujących danych dotyczących każdego analizowanego okresu:</w:t>
      </w:r>
    </w:p>
    <w:p w:rsidR="005939A0" w:rsidRPr="00216631" w:rsidRDefault="005939A0" w:rsidP="00216631">
      <w:pPr>
        <w:pStyle w:val="Akapitzlist"/>
        <w:numPr>
          <w:ilvl w:val="1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66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Wszystkich wersji umów z NFZ w wersji elektronicznej dla wszystkich komórek organizacyjnych   wraz z aneksami do umów (w formacie </w:t>
      </w:r>
      <w:proofErr w:type="spellStart"/>
      <w:r w:rsidRPr="002166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xml</w:t>
      </w:r>
      <w:proofErr w:type="spellEnd"/>
      <w:r w:rsidRPr="002166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5939A0" w:rsidRPr="00216631" w:rsidRDefault="005939A0" w:rsidP="00216631">
      <w:pPr>
        <w:pStyle w:val="Akapitzlist"/>
        <w:numPr>
          <w:ilvl w:val="1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166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Wszystkich </w:t>
      </w:r>
      <w:r w:rsidRPr="002166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wersji komunikatów rozliczeniowych typu SWIAD (w tym dotyczących programów lekowych i chemioterapii) dla hospitalizacji wypisanych w miesiącach, które mają być ujęte w analizach, w tym komunikaty, które nie mają jeszcze zakodowanych świadczeń (z danymi statystycznymi) oraz dla opieki ambulatoryjnej; potwierdzeń z NFZ akceptacji rozliczeń (</w:t>
      </w:r>
      <w:proofErr w:type="spellStart"/>
      <w:r w:rsidRPr="002166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p_swi</w:t>
      </w:r>
      <w:proofErr w:type="spellEnd"/>
      <w:r w:rsidRPr="002166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zawierających informacje o wyniku walidacji i weryfikacji;</w:t>
      </w:r>
    </w:p>
    <w:p w:rsidR="005939A0" w:rsidRPr="005939A0" w:rsidRDefault="005939A0" w:rsidP="00216631">
      <w:pPr>
        <w:numPr>
          <w:ilvl w:val="1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Danych dotyczących przychodów i kosztów rodzajowych poniesionych przez </w:t>
      </w:r>
      <w:r w:rsidRPr="005939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szpital 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 usługą i każdą z jego jednostek organizacyjnych, w podziale na miesiące;</w:t>
      </w:r>
    </w:p>
    <w:p w:rsidR="005939A0" w:rsidRPr="005939A0" w:rsidRDefault="005939A0" w:rsidP="00216631">
      <w:pPr>
        <w:numPr>
          <w:ilvl w:val="1"/>
          <w:numId w:val="19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Informacji o strukturze organizacyjnej Zamawiającego z uwzględnieniem w zakresie części "białej" liczby łóżek, godzin pracy lekarzy i pielęgniarek, godzin pracy każdej poradni AOS;</w:t>
      </w:r>
    </w:p>
    <w:p w:rsidR="005939A0" w:rsidRPr="005939A0" w:rsidRDefault="005939A0" w:rsidP="00216631">
      <w:pPr>
        <w:numPr>
          <w:ilvl w:val="1"/>
          <w:numId w:val="19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Strony mogą uzgodnić rozszerzenie listy danych koniecznych do analizy.</w:t>
      </w:r>
    </w:p>
    <w:p w:rsidR="005939A0" w:rsidRPr="005939A0" w:rsidRDefault="005939A0" w:rsidP="00216631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>Dane</w:t>
      </w:r>
      <w:r w:rsidRPr="005939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o których mowa w pkt. </w:t>
      </w:r>
      <w:r w:rsidR="002166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5939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.1 do </w:t>
      </w:r>
      <w:r w:rsidR="002166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5.5</w:t>
      </w:r>
      <w:r w:rsidRPr="005939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będą dostarczane przez </w:t>
      </w:r>
      <w:r w:rsidRPr="00593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Zamawiającego</w:t>
      </w:r>
      <w:r w:rsidRPr="005939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</w:t>
      </w:r>
      <w:r w:rsidRPr="00593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 Wykonawcy</w:t>
      </w:r>
      <w:r w:rsidRPr="005939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poprzez przesłanie ich na specjalnie przygotowany i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zabezpieczony serwer FTP lub adres e-mail opiekuna </w:t>
      </w: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Zamawiającego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strony</w:t>
      </w: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Wykonawcy.</w:t>
      </w:r>
    </w:p>
    <w:p w:rsidR="005939A0" w:rsidRPr="005939A0" w:rsidRDefault="005939A0" w:rsidP="0021663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prawo do konsultacji za pomocą poczty elektronicznej i rozmów telefonicznych w zwykłych godzinach pracy. Strony pokrywają samodzielnie koszty związane z komunikacją.</w:t>
      </w:r>
    </w:p>
    <w:p w:rsidR="005939A0" w:rsidRPr="005939A0" w:rsidRDefault="005939A0" w:rsidP="0021663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Osobą kontaktową i upoważnioną ze strony Zamawiającego w sprawie realizacji niniejszej umowy jest ………………………… tel. …………… mail……………….</w:t>
      </w:r>
    </w:p>
    <w:p w:rsidR="005939A0" w:rsidRPr="005939A0" w:rsidRDefault="005939A0" w:rsidP="0021663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>Osobą kontaktową i upoważnioną ze strony wykonawcy w sprawie realizacji niniejszej umowy jest  …………………………….tel. ..................................., mail……………….</w:t>
      </w:r>
    </w:p>
    <w:p w:rsidR="005939A0" w:rsidRPr="005939A0" w:rsidRDefault="005939A0" w:rsidP="0021663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Wiążąca strony korespondencja w ramach umowy prowadzona będzie w formie w formie email (ze strony zamawiającego ………………………………, ze strony Wykonawcy ……….………………………. </w:t>
      </w:r>
    </w:p>
    <w:p w:rsidR="005939A0" w:rsidRPr="005939A0" w:rsidRDefault="005939A0" w:rsidP="005939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939A0" w:rsidRPr="005939A0" w:rsidRDefault="005939A0" w:rsidP="005939A0">
      <w:pPr>
        <w:suppressAutoHyphen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4 </w:t>
      </w:r>
    </w:p>
    <w:p w:rsidR="005939A0" w:rsidRPr="005939A0" w:rsidRDefault="005939A0" w:rsidP="005939A0">
      <w:pPr>
        <w:suppressAutoHyphen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Zobowiązania dotyczące poufności</w:t>
      </w:r>
    </w:p>
    <w:p w:rsidR="005939A0" w:rsidRPr="005939A0" w:rsidRDefault="005939A0" w:rsidP="005939A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przyjmuje do wiadomości, że w ramach współpracy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udostępni </w:t>
      </w:r>
      <w:r w:rsidRPr="005939A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mu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Informacje handlowe, oraz że zostaną one przekazane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Wykonawcy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jedynie w ramach stosunku poufności istniejącego pomiędzy stronami.</w:t>
      </w:r>
    </w:p>
    <w:p w:rsidR="005939A0" w:rsidRPr="005939A0" w:rsidRDefault="005939A0" w:rsidP="005939A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2.</w:t>
      </w: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przyjmuje do wiadomości, że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udostępni mu Informacje Handlowe i Pomysły Optymalizacyjne, oraz że zostaną one przekazane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Zamawiającemu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jedynie w ramach stosunku poufności istniejącego pomiędzy stronami.</w:t>
      </w:r>
    </w:p>
    <w:p w:rsidR="005939A0" w:rsidRPr="005939A0" w:rsidRDefault="005939A0" w:rsidP="005939A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3.</w:t>
      </w: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Udostępnienie przez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Wykonawcę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Informacji Handlowych oraz Pomysłów Optymalizacyjnych nie należy rozumieć jako przeniesienia na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Zamawiającego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praw                 ani udzielenia mu jakichkolwiek licencji dotyczących tych dóbr.</w:t>
      </w:r>
    </w:p>
    <w:p w:rsidR="005939A0" w:rsidRPr="005939A0" w:rsidRDefault="005939A0" w:rsidP="005939A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Udostępniane przez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Zamawiającego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informacje handlowe nie będą zawierać danych osobowych pacjentów. W tym celu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nieodpłatnie udostępni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Zamawiającemu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program do </w:t>
      </w:r>
      <w:proofErr w:type="spellStart"/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>anonimizacji</w:t>
      </w:r>
      <w:proofErr w:type="spellEnd"/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komunikatów rozliczeniowych z NFZ.</w:t>
      </w:r>
    </w:p>
    <w:p w:rsidR="005939A0" w:rsidRPr="005939A0" w:rsidRDefault="005939A0" w:rsidP="005939A0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5.</w:t>
      </w: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zapewni, że:</w:t>
      </w:r>
    </w:p>
    <w:p w:rsidR="005939A0" w:rsidRPr="005939A0" w:rsidRDefault="005939A0" w:rsidP="005939A0">
      <w:pPr>
        <w:suppressAutoHyphens/>
        <w:autoSpaceDE w:val="0"/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>5.1. Informacje handlowe będą udostępniane wyłącznie tym pracownikom</w:t>
      </w:r>
      <w:r w:rsidR="000E27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lub współpracownikom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Wykonawcy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którzy muszą się z nimi zapoznać w celu realizacji  postanowień niniejszej umowy.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odpowiada za działania i zaniechania takich osób jak za własne.</w:t>
      </w:r>
    </w:p>
    <w:p w:rsidR="005939A0" w:rsidRPr="005939A0" w:rsidRDefault="005939A0" w:rsidP="005939A0">
      <w:pPr>
        <w:suppressAutoHyphens/>
        <w:autoSpaceDE w:val="0"/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5.2. Wykorzysta otrzymane od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Zamawiającego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Informacje handlowe do realizacji postanowień niniejszej umowy, w tym do przygotowania analiz oraz innych materiałów informacyjnych na rzecz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Zamawiającego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5939A0" w:rsidRPr="005939A0" w:rsidRDefault="005939A0" w:rsidP="005939A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upoważnia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Wykonawcę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wykorzystania Informacji Handlowych                  do rozbudowy istniejących i tworzenia nowych systemów i usług informacyjnych, stanowiących własność intelektualną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Wykonawcy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jak również dla celów świadczenia usług doradczych innym podmiotom gospodarczym i publicznym. Jednak sposób użycia Informacji Handlowych przez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Wykonawcę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 ramach prowadzonej działalności gospodarczej nie może wskazywać źródła ich pochodzenia.</w:t>
      </w:r>
    </w:p>
    <w:p w:rsidR="005939A0" w:rsidRPr="005939A0" w:rsidRDefault="005939A0" w:rsidP="005939A0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7.</w:t>
      </w: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>Powyższe zobowiązania nie dotyczą:</w:t>
      </w:r>
    </w:p>
    <w:p w:rsidR="005939A0" w:rsidRPr="005939A0" w:rsidRDefault="005939A0" w:rsidP="005939A0">
      <w:p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7.1. I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>nformacji Handlowych, które są lub staną się publicznie dostępne w wyniku zdarzeń innych, nienaruszających postanowienia niniejszej umowy;</w:t>
      </w:r>
    </w:p>
    <w:p w:rsidR="005939A0" w:rsidRPr="005939A0" w:rsidRDefault="005939A0" w:rsidP="005939A0">
      <w:p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7.2. 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Informacji Handlowych, które muszą być ujawnione na mocy orzeczeń sądowych lub decyzji administracyjnych, w związku z prowadzeniem postępowania na mocy przepisów prawa, jednak w takim wypadku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Strona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tego zobowiązana powinna niezwłocznie poinformować drugą </w:t>
      </w:r>
      <w:r w:rsidRPr="005939A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Stronę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 konieczności i zakresie ujawnienia informacji;</w:t>
      </w:r>
    </w:p>
    <w:p w:rsidR="005939A0" w:rsidRPr="005939A0" w:rsidRDefault="005939A0" w:rsidP="005939A0">
      <w:pPr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7.3. 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Informacji Handlowych oraz Pomysłów Optymalizacyjnych po upływie 10 lat od daty </w:t>
      </w:r>
      <w:r w:rsidRPr="005939A0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ich ujawnienia.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>8.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Strony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mogą powoływać się wobec osób trzecich na fakt zawarcia niniejszej umowy, z zachowaniem tajemnicy dotyczącej jej szczegółów. 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  <w:t>§ 5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Cena i sposób zapłaty za usługę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939A0" w:rsidRPr="005939A0" w:rsidRDefault="005939A0" w:rsidP="005939A0">
      <w:pPr>
        <w:numPr>
          <w:ilvl w:val="1"/>
          <w:numId w:val="4"/>
        </w:num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Strony ustalają, że wartość usługi, będącej przedmiotem niniejszej umowy zgodnie                      z zakresem zdefiniowanym w § 3 ust. 1, wynosi …………………… zł 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netto (słownie ……………. </w:t>
      </w:r>
      <w:r w:rsidRPr="005939A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)</w:t>
      </w: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plus należny podatek VAT.</w:t>
      </w:r>
    </w:p>
    <w:p w:rsidR="005939A0" w:rsidRPr="005939A0" w:rsidRDefault="005939A0" w:rsidP="005939A0">
      <w:pPr>
        <w:numPr>
          <w:ilvl w:val="1"/>
          <w:numId w:val="4"/>
        </w:numPr>
        <w:tabs>
          <w:tab w:val="left" w:pos="142"/>
          <w:tab w:val="left" w:pos="3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Płatność 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</w:t>
      </w:r>
      <w:r w:rsidRPr="005939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usługę będącą przedmiotem niniejszej umowy nast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>ąpi w 12 równych miesięcznych ratach, każda po …………………….. zł netto plus należny podatek VAT.</w:t>
      </w:r>
    </w:p>
    <w:p w:rsidR="005939A0" w:rsidRPr="005939A0" w:rsidRDefault="005939A0" w:rsidP="005939A0">
      <w:pPr>
        <w:numPr>
          <w:ilvl w:val="1"/>
          <w:numId w:val="4"/>
        </w:numPr>
        <w:tabs>
          <w:tab w:val="left" w:pos="142"/>
          <w:tab w:val="left" w:pos="3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Raty miesięczne będą płacone na podstawie prawidłowo wystawionych faktur.</w:t>
      </w:r>
    </w:p>
    <w:p w:rsidR="005939A0" w:rsidRPr="005939A0" w:rsidRDefault="005939A0" w:rsidP="005939A0">
      <w:pPr>
        <w:numPr>
          <w:ilvl w:val="1"/>
          <w:numId w:val="4"/>
        </w:numPr>
        <w:tabs>
          <w:tab w:val="left" w:pos="142"/>
          <w:tab w:val="left" w:pos="3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Termin płatności faktury, prawidłowo wystawionej, wynosi 30 dni od dnia jej doręczenia Zamawiającemu.</w:t>
      </w:r>
    </w:p>
    <w:p w:rsidR="005939A0" w:rsidRPr="005939A0" w:rsidRDefault="005939A0" w:rsidP="005939A0">
      <w:pPr>
        <w:numPr>
          <w:ilvl w:val="1"/>
          <w:numId w:val="4"/>
        </w:numPr>
        <w:tabs>
          <w:tab w:val="num" w:pos="426"/>
        </w:tabs>
        <w:spacing w:after="0" w:line="276" w:lineRule="auto"/>
        <w:ind w:left="425" w:hanging="425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Strony umowy postanawiają, że zapłata należności nastąpi z chwilą obciążenia rachunku bankowego Zamawiającego.</w:t>
      </w:r>
    </w:p>
    <w:p w:rsidR="005939A0" w:rsidRPr="005939A0" w:rsidRDefault="005939A0" w:rsidP="005939A0">
      <w:pPr>
        <w:numPr>
          <w:ilvl w:val="1"/>
          <w:numId w:val="4"/>
        </w:numPr>
        <w:tabs>
          <w:tab w:val="left" w:pos="142"/>
          <w:tab w:val="left" w:pos="360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SimSun" w:hAnsi="Times New Roman" w:cs="Times New Roman"/>
          <w:sz w:val="24"/>
          <w:szCs w:val="24"/>
          <w:lang w:eastAsia="ar-SA"/>
        </w:rPr>
        <w:t>Faktury będą wysyłane w formie elektronicznej na adres Zamawiającego.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§ 6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Kary umowne</w:t>
      </w:r>
    </w:p>
    <w:p w:rsidR="005939A0" w:rsidRPr="005939A0" w:rsidRDefault="005939A0" w:rsidP="005939A0">
      <w:pPr>
        <w:numPr>
          <w:ilvl w:val="0"/>
          <w:numId w:val="7"/>
        </w:numPr>
        <w:tabs>
          <w:tab w:val="left" w:pos="360"/>
          <w:tab w:val="left" w:pos="426"/>
        </w:tabs>
        <w:suppressAutoHyphens/>
        <w:overflowPunct w:val="0"/>
        <w:autoSpaceDE w:val="0"/>
        <w:spacing w:before="120" w:after="200" w:line="276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naruszenia postanowień Umowy Zamawiający ma prawo naliczyć Wykonawcy kary umowne zgodnie z poniższymi zasadami. </w:t>
      </w:r>
    </w:p>
    <w:p w:rsidR="005939A0" w:rsidRPr="005939A0" w:rsidRDefault="005939A0" w:rsidP="005939A0">
      <w:pPr>
        <w:numPr>
          <w:ilvl w:val="0"/>
          <w:numId w:val="7"/>
        </w:numPr>
        <w:tabs>
          <w:tab w:val="num" w:pos="0"/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</w:t>
      </w:r>
      <w:r w:rsidR="000E2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zwłoki 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 dostarczeniu raportów będących przedmiotem umowy,                    </w:t>
      </w:r>
      <w:r w:rsidR="000E2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 przyczyn leżących po stronie Wykonawcy, jest on zobowiązany do zapłaty kary umownej w wysokości </w:t>
      </w:r>
      <w:r w:rsidR="00EB7C83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="000E273A">
        <w:rPr>
          <w:rFonts w:ascii="Times New Roman" w:eastAsia="Arial" w:hAnsi="Times New Roman" w:cs="Times New Roman"/>
          <w:sz w:val="24"/>
          <w:szCs w:val="24"/>
          <w:lang w:eastAsia="ar-SA"/>
        </w:rPr>
        <w:t>00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,00 zł za każdy dzień </w:t>
      </w:r>
      <w:r w:rsidR="000E273A">
        <w:rPr>
          <w:rFonts w:ascii="Times New Roman" w:eastAsia="Arial" w:hAnsi="Times New Roman" w:cs="Times New Roman"/>
          <w:sz w:val="24"/>
          <w:szCs w:val="24"/>
          <w:lang w:eastAsia="ar-SA"/>
        </w:rPr>
        <w:t>zwłoki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5939A0" w:rsidRPr="005939A0" w:rsidRDefault="005939A0" w:rsidP="005939A0">
      <w:pPr>
        <w:numPr>
          <w:ilvl w:val="0"/>
          <w:numId w:val="7"/>
        </w:numPr>
        <w:tabs>
          <w:tab w:val="num" w:pos="0"/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>W przypadku</w:t>
      </w:r>
      <w:r w:rsidR="000E273A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gdy szkoda przekraczać będzie wartość zastrzeżonej kary umownej, Strony zastrzegają sobie prawo dochodzenia odszkodowania przenoszącego wysokość zastrzeżonej kary umownej na zasadach ogólnych.</w:t>
      </w:r>
    </w:p>
    <w:p w:rsidR="00EB7C83" w:rsidRDefault="005939A0" w:rsidP="00EB7C83">
      <w:pPr>
        <w:numPr>
          <w:ilvl w:val="0"/>
          <w:numId w:val="7"/>
        </w:numPr>
        <w:tabs>
          <w:tab w:val="num" w:pos="0"/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Naliczenie przez Zamawiającego kary umownej następuje poprzez sporządzenie noty księgowej wraz z pisemnym uzasadnieniem. </w:t>
      </w:r>
      <w:r w:rsidRPr="005939A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Wykonawca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zobowiązany jest w terminie 10 dni od daty otrzymania ww. dokumentów do zapłaty naliczonej kary umownej. Brak zapłaty w powyższym terminie uprawnia Zamawiającego do potrącenia kary umownej             </w:t>
      </w:r>
      <w:r w:rsidR="000E2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 wynagrodzenia </w:t>
      </w:r>
      <w:r w:rsidRPr="005939A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Wykonawcy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lub innych jego wierzytelności przysługujących Wykonawcy w stosunku do Zamawiającego. </w:t>
      </w:r>
    </w:p>
    <w:p w:rsidR="00EB7C83" w:rsidRPr="00EB7C83" w:rsidRDefault="00EB7C83" w:rsidP="00EB7C83">
      <w:p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939A0" w:rsidRPr="005939A0" w:rsidRDefault="005939A0" w:rsidP="005939A0">
      <w:pPr>
        <w:numPr>
          <w:ilvl w:val="0"/>
          <w:numId w:val="7"/>
        </w:numPr>
        <w:tabs>
          <w:tab w:val="num" w:pos="0"/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Naliczenie przez Zamawiającego bądź zapłata przez </w:t>
      </w:r>
      <w:r w:rsidRPr="005939A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Wykonawcę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kary umownej nie zwalnia go z zobowiązań wynikających z niniejszej Umowy. 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ind w:left="35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939A0" w:rsidRPr="005939A0" w:rsidRDefault="005939A0" w:rsidP="005939A0">
      <w:pPr>
        <w:numPr>
          <w:ilvl w:val="0"/>
          <w:numId w:val="7"/>
        </w:numPr>
        <w:spacing w:after="20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Strony ustalają, że łączna wysokość kar umownych nie </w:t>
      </w:r>
      <w:r w:rsidR="000E273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może 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>przekroczy</w:t>
      </w:r>
      <w:r w:rsidR="000E273A">
        <w:rPr>
          <w:rFonts w:ascii="Times New Roman" w:eastAsia="Arial" w:hAnsi="Times New Roman" w:cs="Times New Roman"/>
          <w:sz w:val="24"/>
          <w:szCs w:val="24"/>
          <w:lang w:eastAsia="ar-SA"/>
        </w:rPr>
        <w:t>ć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E273A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>0% wynagrodzenia, o którym mowa w §5 ust. 1 umowy.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§7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Odpowiedzialność Wykonawcy</w:t>
      </w:r>
      <w:r w:rsidR="00EB7C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za wady przedmiotu umowy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5939A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Wykonawca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jest odpowiedzialny wobec </w:t>
      </w:r>
      <w:r w:rsidRPr="00EB7C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Zamawiającego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za wady przedmiotu umowy, zmniejszające jego wartość lub użyteczność ze względu na cel umowy, a w szczególności za wady uznaje się nierzetelność wykonania objętych umową analiz i raportów, niezgodność z obowiązującymi przepisami.</w:t>
      </w:r>
      <w:bookmarkStart w:id="0" w:name="_GoBack"/>
      <w:bookmarkEnd w:id="0"/>
    </w:p>
    <w:p w:rsid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2.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="00EB7C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EB7C8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Zamawiającemu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który otrzymał przedmiot umowy dotknięty wadami przysługuje,                     w zależności od jego wyboru, prawo do żądania od </w:t>
      </w:r>
      <w:r w:rsidRPr="005939A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Wykonawcy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usunięcia wad w terminie ustalonym z Zamawiającym, jednak nie później niż 14 dni od dnia otrzymania żądania Zamawiającego oraz wprowadzenia uzupełnień na koszt </w:t>
      </w:r>
      <w:r w:rsidRPr="005939A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Wykonawcy.</w:t>
      </w:r>
    </w:p>
    <w:p w:rsidR="00EB7C83" w:rsidRPr="005939A0" w:rsidRDefault="000E273A" w:rsidP="00EB7C83">
      <w:pPr>
        <w:tabs>
          <w:tab w:val="left" w:pos="426"/>
          <w:tab w:val="left" w:pos="567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B7C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</w:t>
      </w:r>
      <w:r w:rsidR="00EB7C8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B7C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W przypadku nieusunięcia wady w wyznaczonym terminie Wykonawca jest zobowiązany </w:t>
      </w:r>
      <w:r w:rsidR="00EB7C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</w:t>
      </w:r>
      <w:r w:rsidRPr="00EB7C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do zapłaty kary umownej w wysokości </w:t>
      </w:r>
      <w:r w:rsidR="00EB7C83" w:rsidRPr="00EB7C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200</w:t>
      </w:r>
      <w:r w:rsidRPr="00EB7C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,00 zł za każdy dzień zwłoki.</w:t>
      </w:r>
      <w:r w:rsidR="00EB7C8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Naliczenie kary umownej nastąpi zgodnie z zasadami określonymi w </w:t>
      </w:r>
      <w:r w:rsidR="00EB7C83" w:rsidRPr="00EB7C83">
        <w:rPr>
          <w:rFonts w:ascii="Times New Roman" w:eastAsia="Arial" w:hAnsi="Times New Roman" w:cs="Times New Roman"/>
          <w:sz w:val="24"/>
          <w:szCs w:val="24"/>
          <w:lang w:eastAsia="ar-SA"/>
        </w:rPr>
        <w:t>§ 6</w:t>
      </w:r>
      <w:r w:rsidR="00EB7C83" w:rsidRPr="00EB7C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ust</w:t>
      </w:r>
      <w:r w:rsidR="00EB7C8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EB7C83" w:rsidRPr="00EB7C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B7C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B7C83" w:rsidRPr="00EB7C83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EB7C8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E273A" w:rsidRPr="005939A0" w:rsidRDefault="000E273A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§8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Czas trwania umowy</w:t>
      </w:r>
    </w:p>
    <w:p w:rsidR="005939A0" w:rsidRPr="005939A0" w:rsidRDefault="005939A0" w:rsidP="005939A0">
      <w:pPr>
        <w:numPr>
          <w:ilvl w:val="0"/>
          <w:numId w:val="5"/>
        </w:num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hanging="1085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>Umowa została zawarta na czas określony 12 miesięcy.</w:t>
      </w:r>
    </w:p>
    <w:p w:rsidR="005939A0" w:rsidRPr="005939A0" w:rsidRDefault="005939A0" w:rsidP="005939A0">
      <w:pPr>
        <w:numPr>
          <w:ilvl w:val="0"/>
          <w:numId w:val="5"/>
        </w:numPr>
        <w:tabs>
          <w:tab w:val="left" w:pos="360"/>
          <w:tab w:val="left" w:pos="426"/>
          <w:tab w:val="num" w:pos="720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Okres objęty analizą od </w:t>
      </w: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01.01.2024 roku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do </w:t>
      </w: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31.12.2024 roku.</w:t>
      </w:r>
    </w:p>
    <w:p w:rsidR="005939A0" w:rsidRPr="005939A0" w:rsidRDefault="005939A0" w:rsidP="005939A0">
      <w:pPr>
        <w:numPr>
          <w:ilvl w:val="0"/>
          <w:numId w:val="5"/>
        </w:numPr>
        <w:tabs>
          <w:tab w:val="left" w:pos="360"/>
          <w:tab w:val="left" w:pos="426"/>
          <w:tab w:val="num" w:pos="720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>Każda ze stron może rozwiązać niniejszą umowę z zachowaniem 3-miesięcznego okresu wypowiedzenia.</w:t>
      </w:r>
    </w:p>
    <w:p w:rsidR="005939A0" w:rsidRPr="005939A0" w:rsidRDefault="005939A0" w:rsidP="005939A0">
      <w:pPr>
        <w:numPr>
          <w:ilvl w:val="0"/>
          <w:numId w:val="5"/>
        </w:numPr>
        <w:tabs>
          <w:tab w:val="left" w:pos="360"/>
          <w:tab w:val="left" w:pos="426"/>
          <w:tab w:val="num" w:pos="720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Zamawiający ma prawo do odstąpienia od </w:t>
      </w: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niniejszej umowy w trybie natychmiastowym </w:t>
      </w:r>
      <w:r w:rsidR="000E273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      </w:t>
      </w: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w przypadku opóźnienia w przekazywaniu raportów ponad 30 dni lub w przypadku rażącego naruszenia obowiązków niniejszej umowy przez </w:t>
      </w:r>
      <w:r w:rsidRPr="005939A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Wykonawcę</w:t>
      </w: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5939A0" w:rsidRPr="005939A0" w:rsidRDefault="005939A0" w:rsidP="005939A0">
      <w:pPr>
        <w:numPr>
          <w:ilvl w:val="0"/>
          <w:numId w:val="5"/>
        </w:numPr>
        <w:tabs>
          <w:tab w:val="left" w:pos="360"/>
          <w:tab w:val="left" w:pos="426"/>
          <w:tab w:val="num" w:pos="720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 przypadku wcześniejszego rozwiązania niniejszej umowy w drodze wypowiedzenia przez </w:t>
      </w:r>
      <w:r w:rsidRPr="005939A0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Zamawiającego</w:t>
      </w: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, okres objęty analizą, wskazany w ust. 2, będzie odpowiadał liczbie miesięcy trwania niniejszej umowy. 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939A0" w:rsidRPr="005939A0" w:rsidRDefault="005939A0" w:rsidP="005939A0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5939A0" w:rsidRPr="005939A0" w:rsidRDefault="005939A0" w:rsidP="005939A0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Przesłanki waloryzacji</w:t>
      </w:r>
    </w:p>
    <w:p w:rsidR="005939A0" w:rsidRPr="005939A0" w:rsidRDefault="005939A0" w:rsidP="005939A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5939A0" w:rsidRPr="005939A0" w:rsidRDefault="005939A0" w:rsidP="005939A0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umowy nie może ulec zmianie z wyjątkiem sytuacji, gdy doszło do zmiany: </w:t>
      </w:r>
    </w:p>
    <w:p w:rsidR="005939A0" w:rsidRPr="005939A0" w:rsidRDefault="005939A0" w:rsidP="005939A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stawki podatku od towarów i usług, </w:t>
      </w:r>
    </w:p>
    <w:p w:rsidR="005939A0" w:rsidRPr="005939A0" w:rsidRDefault="005939A0" w:rsidP="005939A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5939A0" w:rsidRPr="005939A0" w:rsidRDefault="005939A0" w:rsidP="005939A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podlegania ubezpieczeniom społecznym lub ubezpieczeniu zdrowotnemu, wysokości składki na ubezpieczenia społeczne lub zdrowotne, </w:t>
      </w:r>
    </w:p>
    <w:p w:rsidR="005939A0" w:rsidRPr="005939A0" w:rsidRDefault="005939A0" w:rsidP="005939A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gromadzenia i wysokości wpłat do pracowniczych planów kapitałowych,                o których mowa w ustawie z dnia 4 października 2018 r. o pracowniczych planach kapitałowych (Dz.U. poz. 2215 oraz z 2019r. poz. 1074 i 1572), </w:t>
      </w:r>
    </w:p>
    <w:p w:rsidR="005939A0" w:rsidRPr="005939A0" w:rsidRDefault="005939A0" w:rsidP="005939A0">
      <w:p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 zmiany wskaźnika cen towarów i usług konsumpcyjnych publikowany przez GUS:</w:t>
      </w:r>
    </w:p>
    <w:p w:rsidR="005939A0" w:rsidRPr="005939A0" w:rsidRDefault="005939A0" w:rsidP="005939A0">
      <w:pPr>
        <w:widowControl w:val="0"/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9A0">
        <w:rPr>
          <w:rFonts w:ascii="Times New Roman" w:eastAsia="Times New Roman" w:hAnsi="Times New Roman" w:cs="Times New Roman"/>
          <w:bCs/>
          <w:sz w:val="24"/>
          <w:szCs w:val="24"/>
        </w:rPr>
        <w:t>pierwsza waloryzacja możliwa jest po 6 miesiącach od daty zawarcia umowy, a kolejna po upływie 6 miesięcy od poprzedniej waloryzacji,</w:t>
      </w:r>
    </w:p>
    <w:p w:rsidR="005939A0" w:rsidRPr="005939A0" w:rsidRDefault="005939A0" w:rsidP="005939A0">
      <w:pPr>
        <w:widowControl w:val="0"/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9A0">
        <w:rPr>
          <w:rFonts w:ascii="Times New Roman" w:eastAsia="Times New Roman" w:hAnsi="Times New Roman" w:cs="Times New Roman"/>
          <w:bCs/>
          <w:sz w:val="24"/>
          <w:szCs w:val="24"/>
        </w:rPr>
        <w:t xml:space="preserve">podstawą waloryzacji jest 6 miesięczny wskaźnik cen towarów i usług konsumpcyjnych (inflacja) w stosunku do poprzedniego 6 miesięcznego ostatnio ogłaszano przez Prezesa GUS dla poszczególnych grup towarów w Biuletynie Statystycznym dostępnym na stronie internetowej Głównego Urzędu Statystycznego www.stat.gov.pl. Jeżeli Prezes GUS nie ogłasza, w Biuletynie Statystycznym, 6 miesięcznego wskaźnika cen towarów </w:t>
      </w:r>
      <w:r w:rsidR="000E273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5939A0">
        <w:rPr>
          <w:rFonts w:ascii="Times New Roman" w:eastAsia="Times New Roman" w:hAnsi="Times New Roman" w:cs="Times New Roman"/>
          <w:bCs/>
          <w:sz w:val="24"/>
          <w:szCs w:val="24"/>
        </w:rPr>
        <w:t>i usług konsumpcyjnych dla towaru będącego przedmiotem niniejszej umowy przyjmuje się ostatnio ogłoszony ogólny wskaźnik,</w:t>
      </w:r>
    </w:p>
    <w:p w:rsidR="005939A0" w:rsidRPr="005939A0" w:rsidRDefault="005939A0" w:rsidP="005939A0">
      <w:pPr>
        <w:widowControl w:val="0"/>
        <w:numPr>
          <w:ilvl w:val="6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9A0">
        <w:rPr>
          <w:rFonts w:ascii="Times New Roman" w:eastAsia="Times New Roman" w:hAnsi="Times New Roman" w:cs="Times New Roman"/>
          <w:bCs/>
          <w:sz w:val="24"/>
          <w:szCs w:val="24"/>
        </w:rPr>
        <w:t xml:space="preserve">dla uniknięcia wątpliwości Strony postanawiają, że waloryzacja będzie następować również w razie wystąpienia spadku cen do zastosowania </w:t>
      </w:r>
      <w:r w:rsidRPr="005939A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ujemnego wskaźnika tj. „deflacji”,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939A0" w:rsidRPr="005939A0" w:rsidTr="003A0D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39A0" w:rsidRPr="005939A0" w:rsidRDefault="005939A0" w:rsidP="005939A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939A0" w:rsidRPr="005939A0" w:rsidRDefault="005939A0" w:rsidP="005939A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939A0" w:rsidRPr="005939A0" w:rsidRDefault="005939A0" w:rsidP="005939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wysokości wynagrodzenia obowiązywać będą od daty określonej w aneksie                  do niniejszej umowy.</w:t>
      </w:r>
    </w:p>
    <w:p w:rsidR="005939A0" w:rsidRPr="005939A0" w:rsidRDefault="005939A0" w:rsidP="005939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której mowa w ust. 1 lit. a) wartość netto wynagrodzenia Wykonawcy nie zmieni się, a określona w aneksie wartość brutto wynagrodzenia zostanie wyliczona na podstawie nowych przepisów. </w:t>
      </w:r>
    </w:p>
    <w:p w:rsidR="005939A0" w:rsidRPr="005939A0" w:rsidRDefault="005939A0" w:rsidP="005939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której mowa w ust. 1 lit. b) wynagrodzenie Wykonawcy ulegnie zmianie o wartość ustaloną w drodze negocjacji, nie więcej niż o łączny wzrost całkowitego kosztu Wykonawcy wynikający ze zwiększenia wynagrodzeń osób bezpośrednio wykonujących Umowę do wysokości aktualnie obowiązującego minimalnego wynagrodzenia (stawki godzinowej), z uwzględnieniem wszystkich obciążeń publicznoprawnych od kwoty wzrostu minimalnego wynagrodzenia (stawki godzinowej). </w:t>
      </w:r>
    </w:p>
    <w:p w:rsidR="005939A0" w:rsidRPr="005939A0" w:rsidRDefault="005939A0" w:rsidP="005939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zmiany, o której mowa w ust. 1 lit. c) – d) wynagrodzenie Wykonawcy ulegnie zmianie o wartość ustaloną w drodze negocjacji, nie więcej niż o łączny wzrost całkowitego kosztu Wykonawcy, jaki będzie on zobowiązany dodatkowo ponieść w celu uwzględnienia tej zmiany; przy zachowaniu dotychczasowej kwoty netto wynagrodzenia osób bezpośrednio wykonujących Umowę na rzecz Zamawiającego, w przypadku wskazanym w ust. 1 lit. c) .</w:t>
      </w:r>
    </w:p>
    <w:p w:rsidR="005939A0" w:rsidRPr="005939A0" w:rsidRDefault="005939A0" w:rsidP="005939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wskazanym w ust. 1 lit. d)  wzrost wynagrodzenia Wykonawcy, dotyczyć może tylko kosztów związanych z wynikającym z ustawy dnia 4 października 2018 r. </w:t>
      </w:r>
      <w:r w:rsidR="000E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pracowniczych planach kapitałowych, prawnym obowiązkiem sfinansowania wpłat obciążających Wykonawcę, w minimalnej prawem dopuszczonej wysokości. Uwzględnia się wyłącznie wzrost kosztów dotyczących osób bezpośrednio wykonujących Umowę na rzecz Zamawiającego. </w:t>
      </w:r>
    </w:p>
    <w:p w:rsidR="005939A0" w:rsidRPr="005939A0" w:rsidRDefault="005939A0" w:rsidP="005939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wysokości wynagrodzenia mogą mieć miejsce jedynie wówczas, gdy zmiany </w:t>
      </w:r>
      <w:r w:rsidR="000E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>te będą miały wpływ na koszty wykonania umowy przez Wykonawcę. Wykonawca zobowiązany jest do wykazania wpływu wskazanych zmian na koszty wykonania umowy.</w:t>
      </w:r>
    </w:p>
    <w:p w:rsidR="005939A0" w:rsidRPr="005939A0" w:rsidRDefault="005939A0" w:rsidP="005939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zmianę wartości umowy w przypadku zmiany cen materiałów lub kosztów związanych z realizacją umowy. </w:t>
      </w:r>
    </w:p>
    <w:p w:rsidR="005939A0" w:rsidRPr="005939A0" w:rsidRDefault="005939A0" w:rsidP="005939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zmiany ceny materiałów lub kosztów związanych z realizacją umowy uprawniający Strony umowy do żądania zmiany wynagrodzenia ustala się na poziomie 20% w stosunku do poziomu cen tych samych materiałów lub kosztów z dnia zawarcia umowy. Początkowy termin ustalenia zmiany wynagrodzenia określa się na dzień zaistnienia przesłanki w postaci wzrostu wynagrodzenia ceny materiałów lub kosztów związanych z realizacją umowy o 20 %. </w:t>
      </w:r>
    </w:p>
    <w:p w:rsidR="005939A0" w:rsidRPr="005939A0" w:rsidRDefault="005939A0" w:rsidP="005939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przesłanki będącej podstawą zmiany wynagrodzenia o której mowa w ust. 9, określa się następujące okresy, w których Wykonawca może zwrócić się w formie pisemnej do Zamawiającego o zmianę wynagrodzenia: w terminie 6 miesięcy licząc od dnia zawarcia umowy, przy czym zmiana wynagrodzenia nie może być dokonywana częściej niż co 6 miesięcy. </w:t>
      </w:r>
    </w:p>
    <w:p w:rsidR="005939A0" w:rsidRPr="005939A0" w:rsidRDefault="005939A0" w:rsidP="005939A0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zmiany wynagrodzenia, o której mowa w ust. 9 będzie ustalona w oparciu </w:t>
      </w:r>
      <w:r w:rsidR="000E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wskaźnik zmiany ceny materiałów lub kosztów, w szczególności wskaźnika ogłoszonego 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komunikacie Prezesa Głównego Urzędu Statystycznego. Maksymalna łączna wartość zmiany wynagrodzenia, jaką dopuszcza Zamawiający w efekcie zastosowania postanowień o zasadach wprowadzenia zmian wysokości wynagrodzenia stanowi 10 % wartości brutto umowy. </w:t>
      </w:r>
    </w:p>
    <w:p w:rsidR="005939A0" w:rsidRPr="005939A0" w:rsidRDefault="005939A0" w:rsidP="005939A0">
      <w:pPr>
        <w:numPr>
          <w:ilvl w:val="0"/>
          <w:numId w:val="2"/>
        </w:numPr>
        <w:suppressAutoHyphens/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którego wynagrodzenie zostało zmienione zgodnie z ust. 9 i 10 zobowiązany jest do zmiany wynagrodzenia przysługującego podwykonawcy (w przypadku gdy Wykonawca zawarł umowę z podwykonawcą) w zakresie odpowiadającym zmianom cen materiałów lub kosztów dotyczących zobowiązania podwykonawcy. W przypadku nie wypełnienia powyższego obowiązku Wykonawca zobowiązany jest do zapłacenia kary umownej w wysokości 0,1 % łącznej wartości netto umowy za każdy rozpoczęty dzień zwłoki. </w:t>
      </w:r>
    </w:p>
    <w:p w:rsidR="005939A0" w:rsidRPr="005939A0" w:rsidRDefault="005939A0" w:rsidP="005939A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5939A0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§10</w:t>
      </w:r>
    </w:p>
    <w:p w:rsidR="005939A0" w:rsidRPr="005939A0" w:rsidRDefault="005939A0" w:rsidP="005939A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</w:pPr>
      <w:r w:rsidRPr="005939A0">
        <w:rPr>
          <w:rFonts w:ascii="Cambria" w:eastAsia="Times New Roman" w:hAnsi="Cambria" w:cs="Times New Roman"/>
          <w:b/>
          <w:bCs/>
          <w:sz w:val="24"/>
          <w:szCs w:val="24"/>
          <w:lang w:eastAsia="zh-CN"/>
        </w:rPr>
        <w:t>Wymogi odnośnie formy zatrudnienia</w:t>
      </w: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39A0" w:rsidRPr="005939A0" w:rsidRDefault="005939A0" w:rsidP="005939A0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Wykonawca lub podwykonawca (w przypadku gdy w realizacji przedmiotu umowy zaangażowany będzie podwykonawca), zobowiązuje się na czas trwania niniejszej umowy zatrudnić na umowę o pracę (w rozumieniu przepisów ustawy z dnia 26 czerwca 1974 r. – Kodeks pracy) osoby wykonujące przedmiot umowy. </w:t>
      </w:r>
    </w:p>
    <w:p w:rsidR="005939A0" w:rsidRPr="005939A0" w:rsidRDefault="005939A0" w:rsidP="005939A0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0E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skontrolowania w/w wymogu, żądając przedłożenia w wyznaczonym terminie kopii umowy o pracę zatrudnionych pracowników.</w:t>
      </w:r>
    </w:p>
    <w:p w:rsidR="005939A0" w:rsidRPr="005939A0" w:rsidRDefault="005939A0" w:rsidP="005939A0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>3.  W przypadku niewypełnienia obowiązku wynikającego z ust. 1 i 2, Zamawiającemu przysługuje prawo naliczenia kary umownej w wysokości 0,5 % łącznej wartości brutto umowy za każdy dzień realizacji umowy przez wykonawcę niezgodnie z zapisami ust.1 oraz do odstąpienia od umowy z 30-dniowym terminem wypowiedzenia. Kara umowna może być potrącana z faktur wystawionych przez Wykonawcę za realizację przedmiotu niniejszej umowy.</w:t>
      </w:r>
    </w:p>
    <w:p w:rsidR="005939A0" w:rsidRPr="005939A0" w:rsidRDefault="005939A0" w:rsidP="005939A0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0E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ust. 1 – 3 nie dotyczy sytuacji gdy czynności stanowiące przedmiot umowy określone w ust.1 wykonywane są osobiście przez osobę fizyczną prowadzącą działalność gospodarczą. 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§ 11</w:t>
      </w:r>
    </w:p>
    <w:p w:rsidR="005939A0" w:rsidRPr="005939A0" w:rsidRDefault="005939A0" w:rsidP="005939A0">
      <w:pPr>
        <w:tabs>
          <w:tab w:val="left" w:pos="360"/>
          <w:tab w:val="left" w:pos="426"/>
        </w:tabs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Postanowienia końcowe</w:t>
      </w:r>
    </w:p>
    <w:p w:rsidR="005939A0" w:rsidRPr="005939A0" w:rsidRDefault="005939A0" w:rsidP="005939A0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Korespondencja skierowana do Stron w związku i w wykonaniu niniejszej umowy winna być kierowana pod adresy wskazane w nagłówku niniejszej umowy. Każda ze Stron winna poinformować drugą Stronę o zmianach w adresie do korespondencji                           </w:t>
      </w:r>
      <w:r w:rsidR="000E273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ze stosownym wyprzedzeniem. W przypadku braku poinformowania o zmianie przez daną Stronę korespondencję kierowaną na dotychczasowy adres uznaje się za doręczoną.</w:t>
      </w:r>
    </w:p>
    <w:p w:rsidR="005939A0" w:rsidRPr="005939A0" w:rsidRDefault="005939A0" w:rsidP="005939A0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Wszelkie zmiany niniejszej umowy wymagają formy pisemnej pod rygorem nieważności.</w:t>
      </w:r>
    </w:p>
    <w:p w:rsidR="005939A0" w:rsidRPr="005939A0" w:rsidRDefault="005939A0" w:rsidP="005939A0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Wykonawca zobowiązuje się do niedokonywania sprzedaży lub cesji ewentualnych zadłużeń Zamawiającego, a także nie zawierania umów poręczenia wykonania zobowiązania przez Zamawiającego oraz innych umów podobnego rodzaju ze skutkiem przeniesienia wierzytelności wobec Zamawiającego na osoby trzecie, pod rygorem nieważności.</w:t>
      </w:r>
    </w:p>
    <w:p w:rsidR="005939A0" w:rsidRPr="005939A0" w:rsidRDefault="005939A0" w:rsidP="005939A0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W sprawach nieuregulowanych niniejszą umową mają zastosowanie przepisy Kodeksu Cywilnego.</w:t>
      </w:r>
    </w:p>
    <w:p w:rsidR="005939A0" w:rsidRPr="005939A0" w:rsidRDefault="005939A0" w:rsidP="005939A0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lastRenderedPageBreak/>
        <w:t>Strony zobowiązują się do polubownego i w dobrej wierze rozwiązywania wszelkich sporów</w:t>
      </w: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mogących powstać na tle wykonywania niniejszej umowy.</w:t>
      </w:r>
    </w:p>
    <w:p w:rsidR="005939A0" w:rsidRPr="005939A0" w:rsidRDefault="005939A0" w:rsidP="005939A0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braku porozumienia wszelkie spory wynikające na tle stosowania niniejszej umowy rozstrzygać będzie sąd powszechny właściwy miejscowo ze względu na siedzibę powoda. </w:t>
      </w:r>
    </w:p>
    <w:p w:rsidR="005939A0" w:rsidRPr="005939A0" w:rsidRDefault="005939A0" w:rsidP="005939A0">
      <w:pPr>
        <w:numPr>
          <w:ilvl w:val="0"/>
          <w:numId w:val="15"/>
        </w:numPr>
        <w:tabs>
          <w:tab w:val="left" w:pos="360"/>
          <w:tab w:val="left" w:pos="426"/>
        </w:tabs>
        <w:suppressAutoHyphens/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939A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Umowa została sporządzona w </w:t>
      </w:r>
      <w:r w:rsidRPr="005939A0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dwóch jednobrzmiących egzemplarzach, po jednym                dla każdej ze Stron.</w:t>
      </w: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9A0" w:rsidRPr="005939A0" w:rsidRDefault="005939A0" w:rsidP="005939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9A0" w:rsidRPr="005939A0" w:rsidRDefault="005939A0" w:rsidP="005939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 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</w:t>
      </w:r>
    </w:p>
    <w:p w:rsidR="005939A0" w:rsidRPr="005939A0" w:rsidRDefault="005939A0" w:rsidP="005939A0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Wykonawca</w:t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9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9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939A0" w:rsidRPr="005939A0" w:rsidRDefault="005939A0" w:rsidP="005939A0">
      <w:pPr>
        <w:spacing w:after="0" w:line="240" w:lineRule="auto"/>
        <w:ind w:left="284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950CFC" w:rsidRDefault="00950CFC"/>
    <w:sectPr w:rsidR="0095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D10437D8"/>
    <w:name w:val="WW8Num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9BE4E28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7"/>
    <w:multiLevelType w:val="singleLevel"/>
    <w:tmpl w:val="1194DF7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  <w:color w:val="000000"/>
        <w:sz w:val="24"/>
        <w:szCs w:val="24"/>
        <w:lang w:val="pl-PL"/>
      </w:rPr>
    </w:lvl>
  </w:abstractNum>
  <w:abstractNum w:abstractNumId="4" w15:restartNumberingAfterBreak="0">
    <w:nsid w:val="00000008"/>
    <w:multiLevelType w:val="multilevel"/>
    <w:tmpl w:val="F4ACF8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4" w:hanging="432"/>
      </w:pPr>
      <w:rPr>
        <w:rFonts w:ascii="Calibri" w:eastAsia="SimSun" w:hAnsi="Calibri" w:cs="Tahoma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3C6663A"/>
    <w:multiLevelType w:val="hybridMultilevel"/>
    <w:tmpl w:val="C3AA0A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62F7405"/>
    <w:multiLevelType w:val="multilevel"/>
    <w:tmpl w:val="851E4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C816E7"/>
    <w:multiLevelType w:val="multilevel"/>
    <w:tmpl w:val="0FEC395E"/>
    <w:name w:val="WW8Num6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8" w15:restartNumberingAfterBreak="0">
    <w:nsid w:val="2E634780"/>
    <w:multiLevelType w:val="hybridMultilevel"/>
    <w:tmpl w:val="AF8AD096"/>
    <w:lvl w:ilvl="0" w:tplc="C0B0CA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12EE5"/>
    <w:multiLevelType w:val="multilevel"/>
    <w:tmpl w:val="AACA9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318863A1"/>
    <w:multiLevelType w:val="multilevel"/>
    <w:tmpl w:val="E9AA9E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43A9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B44AE"/>
    <w:multiLevelType w:val="multilevel"/>
    <w:tmpl w:val="8B0A76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8D4338E"/>
    <w:multiLevelType w:val="hybridMultilevel"/>
    <w:tmpl w:val="EA4883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E972C4"/>
    <w:multiLevelType w:val="multilevel"/>
    <w:tmpl w:val="3ED0407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4" w:hanging="432"/>
      </w:pPr>
      <w:rPr>
        <w:rFonts w:ascii="Calibri" w:eastAsia="SimSun" w:hAnsi="Calibri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6BF6794E"/>
    <w:multiLevelType w:val="multilevel"/>
    <w:tmpl w:val="CEFAC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26024CD"/>
    <w:multiLevelType w:val="multilevel"/>
    <w:tmpl w:val="176AC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7" w15:restartNumberingAfterBreak="0">
    <w:nsid w:val="7648784A"/>
    <w:multiLevelType w:val="multilevel"/>
    <w:tmpl w:val="F2FAE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6"/>
  </w:num>
  <w:num w:numId="11">
    <w:abstractNumId w:val="6"/>
  </w:num>
  <w:num w:numId="12">
    <w:abstractNumId w:val="9"/>
  </w:num>
  <w:num w:numId="13">
    <w:abstractNumId w:val="17"/>
  </w:num>
  <w:num w:numId="14">
    <w:abstractNumId w:val="15"/>
  </w:num>
  <w:num w:numId="15">
    <w:abstractNumId w:val="7"/>
  </w:num>
  <w:num w:numId="16">
    <w:abstractNumId w:val="12"/>
  </w:num>
  <w:num w:numId="17">
    <w:abstractNumId w:val="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A0"/>
    <w:rsid w:val="00086568"/>
    <w:rsid w:val="000E273A"/>
    <w:rsid w:val="00216631"/>
    <w:rsid w:val="00553DC3"/>
    <w:rsid w:val="005939A0"/>
    <w:rsid w:val="00950CFC"/>
    <w:rsid w:val="00E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A918"/>
  <w15:chartTrackingRefBased/>
  <w15:docId w15:val="{9C617433-CE0E-4026-A34B-5985643F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6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D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DC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3315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3</cp:revision>
  <cp:lastPrinted>2024-01-18T11:37:00Z</cp:lastPrinted>
  <dcterms:created xsi:type="dcterms:W3CDTF">2024-01-18T10:33:00Z</dcterms:created>
  <dcterms:modified xsi:type="dcterms:W3CDTF">2024-01-18T11:55:00Z</dcterms:modified>
</cp:coreProperties>
</file>