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1728D8">
      <w:pPr>
        <w:tabs>
          <w:tab w:val="left" w:pos="9072"/>
        </w:tabs>
        <w:jc w:val="right"/>
        <w:rPr>
          <w:rFonts w:ascii="Cambria" w:hAnsi="Cambria" w:cs="Arial"/>
          <w:b/>
        </w:rPr>
      </w:pPr>
      <w:r w:rsidRPr="006F5942">
        <w:rPr>
          <w:rFonts w:ascii="Cambria" w:hAnsi="Cambria" w:cs="Arial"/>
          <w:b/>
        </w:rPr>
        <w:t>Załącznik nr 1 do SWZ</w:t>
      </w:r>
    </w:p>
    <w:p w:rsidR="001728D8" w:rsidRPr="006F5942" w:rsidRDefault="001728D8" w:rsidP="001728D8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3810/</w:t>
      </w:r>
      <w:r w:rsidR="007B1B31">
        <w:rPr>
          <w:rFonts w:ascii="Cambria" w:hAnsi="Cambria" w:cs="Arial"/>
          <w:b/>
        </w:rPr>
        <w:t>40</w:t>
      </w:r>
      <w:r>
        <w:rPr>
          <w:rFonts w:ascii="Cambria" w:hAnsi="Cambria" w:cs="Arial"/>
          <w:b/>
        </w:rPr>
        <w:t>/2023</w:t>
      </w:r>
    </w:p>
    <w:p w:rsidR="00F260FF" w:rsidRPr="006F5942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</w:rPr>
        <w:t>Dane wykonawcy: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Nazwa: ……………………</w:t>
      </w:r>
      <w:r w:rsidR="001728D8">
        <w:rPr>
          <w:bCs/>
          <w:sz w:val="24"/>
        </w:rPr>
        <w:t>………………..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Adres: ……………………</w:t>
      </w:r>
      <w:r w:rsidR="001728D8">
        <w:rPr>
          <w:bCs/>
          <w:sz w:val="24"/>
        </w:rPr>
        <w:t>…………………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Tel</w:t>
      </w:r>
      <w:r w:rsidR="001728D8">
        <w:rPr>
          <w:bCs/>
          <w:sz w:val="24"/>
        </w:rPr>
        <w:t>.:</w:t>
      </w:r>
      <w:r w:rsidRPr="006F5942">
        <w:rPr>
          <w:bCs/>
          <w:sz w:val="24"/>
        </w:rPr>
        <w:t xml:space="preserve">  ………………………</w:t>
      </w:r>
      <w:r w:rsidR="001728D8">
        <w:rPr>
          <w:bCs/>
          <w:sz w:val="24"/>
        </w:rPr>
        <w:t>……………….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1728D8" w:rsidP="00F260FF">
      <w:pPr>
        <w:pStyle w:val="13"/>
        <w:rPr>
          <w:bCs/>
          <w:sz w:val="24"/>
        </w:rPr>
      </w:pPr>
      <w:r>
        <w:rPr>
          <w:bCs/>
          <w:sz w:val="24"/>
        </w:rPr>
        <w:t>E-</w:t>
      </w:r>
      <w:r w:rsidR="00F260FF" w:rsidRPr="006F5942">
        <w:rPr>
          <w:bCs/>
          <w:sz w:val="24"/>
        </w:rPr>
        <w:t>mail: ………………………</w:t>
      </w:r>
      <w:r>
        <w:rPr>
          <w:bCs/>
          <w:sz w:val="24"/>
        </w:rPr>
        <w:t>…………….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NIP</w:t>
      </w:r>
      <w:r w:rsidR="001728D8">
        <w:rPr>
          <w:bCs/>
          <w:sz w:val="24"/>
        </w:rPr>
        <w:t>:</w:t>
      </w:r>
      <w:r w:rsidRPr="006F5942">
        <w:rPr>
          <w:bCs/>
          <w:sz w:val="24"/>
        </w:rPr>
        <w:t xml:space="preserve"> ………………………</w:t>
      </w:r>
      <w:r w:rsidR="001728D8">
        <w:rPr>
          <w:bCs/>
          <w:sz w:val="24"/>
        </w:rPr>
        <w:t>………………..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osoba do kontaktu</w:t>
      </w:r>
      <w:r w:rsidR="001728D8">
        <w:rPr>
          <w:bCs/>
          <w:sz w:val="24"/>
        </w:rPr>
        <w:t>:</w:t>
      </w:r>
      <w:r w:rsidRPr="006F5942">
        <w:rPr>
          <w:bCs/>
          <w:sz w:val="24"/>
        </w:rPr>
        <w:t xml:space="preserve"> …………</w:t>
      </w:r>
      <w:r w:rsidR="001728D8">
        <w:rPr>
          <w:bCs/>
          <w:sz w:val="24"/>
        </w:rPr>
        <w:t>………………………………</w:t>
      </w:r>
    </w:p>
    <w:p w:rsidR="001728D8" w:rsidRPr="006F5942" w:rsidRDefault="001728D8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2D528B">
      <w:pPr>
        <w:pStyle w:val="13"/>
        <w:jc w:val="center"/>
        <w:rPr>
          <w:b/>
          <w:bCs/>
          <w:sz w:val="24"/>
        </w:rPr>
      </w:pPr>
      <w:r w:rsidRPr="006F5942">
        <w:rPr>
          <w:b/>
          <w:bCs/>
          <w:sz w:val="24"/>
        </w:rPr>
        <w:t>OFERTA</w:t>
      </w:r>
      <w:r w:rsidR="002D528B">
        <w:rPr>
          <w:b/>
          <w:bCs/>
          <w:sz w:val="24"/>
        </w:rPr>
        <w:t>/OPIS PRZEDMIOTU ZAMÓWIENIA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Tekstpodstawowy2"/>
        <w:shd w:val="clear" w:color="auto" w:fill="F2F2F2"/>
        <w:spacing w:after="0" w:line="276" w:lineRule="auto"/>
        <w:jc w:val="both"/>
        <w:rPr>
          <w:u w:val="single"/>
        </w:rPr>
      </w:pPr>
      <w:r w:rsidRPr="006F5942">
        <w:rPr>
          <w:bCs/>
        </w:rPr>
        <w:t xml:space="preserve">Nawiązując do ogłoszenia o postępowaniu  nr </w:t>
      </w:r>
      <w:proofErr w:type="spellStart"/>
      <w:r w:rsidRPr="006F5942">
        <w:rPr>
          <w:bCs/>
        </w:rPr>
        <w:t>Sz.S.P.O.O</w:t>
      </w:r>
      <w:proofErr w:type="spellEnd"/>
      <w:r w:rsidRPr="006F5942">
        <w:rPr>
          <w:bCs/>
        </w:rPr>
        <w:t xml:space="preserve">. </w:t>
      </w:r>
      <w:proofErr w:type="spellStart"/>
      <w:r w:rsidRPr="006F5942">
        <w:rPr>
          <w:bCs/>
        </w:rPr>
        <w:t>SZPiGM</w:t>
      </w:r>
      <w:proofErr w:type="spellEnd"/>
      <w:r w:rsidRPr="006F5942">
        <w:rPr>
          <w:bCs/>
        </w:rPr>
        <w:t xml:space="preserve"> 3810/</w:t>
      </w:r>
      <w:r w:rsidR="0056723B">
        <w:rPr>
          <w:bCs/>
        </w:rPr>
        <w:t>40</w:t>
      </w:r>
      <w:r w:rsidRPr="006F5942">
        <w:rPr>
          <w:bCs/>
        </w:rPr>
        <w:t>/202</w:t>
      </w:r>
      <w:r w:rsidR="001728D8">
        <w:rPr>
          <w:bCs/>
        </w:rPr>
        <w:t>3</w:t>
      </w:r>
      <w:r w:rsidRPr="006F5942">
        <w:rPr>
          <w:bCs/>
        </w:rPr>
        <w:t xml:space="preserve"> </w:t>
      </w:r>
      <w:r w:rsidR="00D42C7A">
        <w:rPr>
          <w:bCs/>
        </w:rPr>
        <w:t xml:space="preserve">                      </w:t>
      </w:r>
      <w:r w:rsidRPr="006F5942">
        <w:rPr>
          <w:bCs/>
        </w:rPr>
        <w:t xml:space="preserve">na </w:t>
      </w:r>
      <w:r w:rsidR="0056723B">
        <w:rPr>
          <w:u w:val="single"/>
        </w:rPr>
        <w:t>usług</w:t>
      </w:r>
      <w:r w:rsidR="00942F2D">
        <w:rPr>
          <w:u w:val="single"/>
        </w:rPr>
        <w:t>ę</w:t>
      </w:r>
      <w:r w:rsidR="0056723B">
        <w:rPr>
          <w:u w:val="single"/>
        </w:rPr>
        <w:t xml:space="preserve"> dzierżawy macierzy dyskowych wraz z przełącznikami i zasilaniem awaryjnym</w:t>
      </w:r>
      <w:r>
        <w:rPr>
          <w:u w:val="single"/>
        </w:rPr>
        <w:t xml:space="preserve">, </w:t>
      </w:r>
      <w:r w:rsidRPr="006F5942">
        <w:rPr>
          <w:bCs/>
        </w:rPr>
        <w:t>oferujemy wykonanie przedmiotu zamówienia na następujących warunkach: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brutto ………………………………………………….. PLN</w:t>
      </w:r>
    </w:p>
    <w:p w:rsidR="007B1B31" w:rsidRPr="006F5942" w:rsidRDefault="007B1B31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7B1B31" w:rsidRPr="006F5942" w:rsidRDefault="007B1B31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netto …………………………………………………… PLN</w:t>
      </w:r>
    </w:p>
    <w:p w:rsidR="007B1B31" w:rsidRPr="006F5942" w:rsidRDefault="007B1B31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  <w:bookmarkStart w:id="0" w:name="_GoBack"/>
      <w:bookmarkEnd w:id="0"/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1728D8" w:rsidRDefault="001728D8" w:rsidP="00F260FF">
      <w:pPr>
        <w:pStyle w:val="13"/>
        <w:rPr>
          <w:bCs/>
          <w:sz w:val="24"/>
        </w:rPr>
      </w:pPr>
    </w:p>
    <w:p w:rsidR="00256182" w:rsidRDefault="00256182" w:rsidP="00F260FF">
      <w:pPr>
        <w:pStyle w:val="13"/>
        <w:rPr>
          <w:bCs/>
          <w:sz w:val="24"/>
        </w:rPr>
        <w:sectPr w:rsidR="00256182" w:rsidSect="00F672BE">
          <w:pgSz w:w="11906" w:h="16838"/>
          <w:pgMar w:top="1276" w:right="1588" w:bottom="1418" w:left="1800" w:header="284" w:footer="720" w:gutter="0"/>
          <w:cols w:space="708"/>
          <w:docGrid w:linePitch="600" w:charSpace="32768"/>
        </w:sectPr>
      </w:pPr>
    </w:p>
    <w:p w:rsidR="001728D8" w:rsidRDefault="001728D8" w:rsidP="00F260FF">
      <w:pPr>
        <w:pStyle w:val="13"/>
        <w:rPr>
          <w:bCs/>
          <w:sz w:val="24"/>
        </w:rPr>
      </w:pPr>
    </w:p>
    <w:p w:rsidR="007B1B31" w:rsidRDefault="007B1B31" w:rsidP="007B1B31">
      <w:pPr>
        <w:tabs>
          <w:tab w:val="left" w:pos="9072"/>
        </w:tabs>
        <w:jc w:val="right"/>
        <w:rPr>
          <w:rFonts w:ascii="Cambria" w:hAnsi="Cambria" w:cs="Arial"/>
          <w:b/>
        </w:rPr>
      </w:pPr>
      <w:r w:rsidRPr="006F5942">
        <w:rPr>
          <w:rFonts w:ascii="Cambria" w:hAnsi="Cambria" w:cs="Arial"/>
          <w:b/>
        </w:rPr>
        <w:t>Załącznik nr 1 do SWZ</w:t>
      </w:r>
    </w:p>
    <w:p w:rsidR="007B1B31" w:rsidRPr="006F5942" w:rsidRDefault="007B1B31" w:rsidP="007B1B31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3810/40/2023</w:t>
      </w:r>
    </w:p>
    <w:p w:rsidR="007B1B31" w:rsidRDefault="007B1B31" w:rsidP="00F260FF">
      <w:pPr>
        <w:pStyle w:val="13"/>
        <w:rPr>
          <w:bCs/>
          <w:sz w:val="24"/>
        </w:rPr>
      </w:pPr>
    </w:p>
    <w:p w:rsidR="007B1B31" w:rsidRPr="006F5942" w:rsidRDefault="007B1B31" w:rsidP="00F260FF">
      <w:pPr>
        <w:pStyle w:val="13"/>
        <w:rPr>
          <w:bCs/>
          <w:sz w:val="24"/>
        </w:rPr>
      </w:pPr>
    </w:p>
    <w:p w:rsidR="00F260FF" w:rsidRDefault="00F260FF" w:rsidP="007839E1">
      <w:pPr>
        <w:pStyle w:val="13"/>
        <w:jc w:val="center"/>
        <w:rPr>
          <w:b/>
          <w:bCs/>
          <w:szCs w:val="28"/>
        </w:rPr>
      </w:pPr>
      <w:r w:rsidRPr="007839E1">
        <w:rPr>
          <w:b/>
          <w:bCs/>
          <w:szCs w:val="28"/>
        </w:rPr>
        <w:t xml:space="preserve">Czynsz dzierżawny za </w:t>
      </w:r>
      <w:r w:rsidR="00256182" w:rsidRPr="007839E1">
        <w:rPr>
          <w:b/>
          <w:bCs/>
          <w:szCs w:val="28"/>
        </w:rPr>
        <w:t>sprzęt</w:t>
      </w:r>
    </w:p>
    <w:p w:rsidR="007839E1" w:rsidRPr="007839E1" w:rsidRDefault="007839E1" w:rsidP="007839E1">
      <w:pPr>
        <w:pStyle w:val="13"/>
        <w:jc w:val="center"/>
        <w:rPr>
          <w:bCs/>
          <w:szCs w:val="28"/>
        </w:rPr>
      </w:pPr>
    </w:p>
    <w:tbl>
      <w:tblPr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21"/>
        <w:gridCol w:w="2268"/>
        <w:gridCol w:w="1559"/>
        <w:gridCol w:w="1843"/>
        <w:gridCol w:w="2693"/>
        <w:gridCol w:w="2693"/>
      </w:tblGrid>
      <w:tr w:rsidR="00F260FF" w:rsidRPr="009A700B" w:rsidTr="007839E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 xml:space="preserve">Nazwa </w:t>
            </w:r>
            <w:r w:rsidR="002B1270">
              <w:rPr>
                <w:rFonts w:asciiTheme="minorHAnsi" w:hAnsiTheme="minorHAnsi" w:cstheme="minorHAnsi"/>
                <w:b/>
                <w:bCs/>
                <w:sz w:val="24"/>
              </w:rPr>
              <w:t>sprzętu</w:t>
            </w:r>
          </w:p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839E1" w:rsidRDefault="00F260FF" w:rsidP="007839E1">
            <w:pPr>
              <w:pStyle w:val="13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Czynsz dzierżawny</w:t>
            </w:r>
          </w:p>
          <w:p w:rsidR="00F260FF" w:rsidRPr="007839E1" w:rsidRDefault="00F260FF" w:rsidP="007839E1">
            <w:pPr>
              <w:pStyle w:val="13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miesięczny netto</w:t>
            </w:r>
          </w:p>
          <w:p w:rsidR="00F260FF" w:rsidRPr="007839E1" w:rsidRDefault="00F260FF" w:rsidP="007839E1">
            <w:pPr>
              <w:pStyle w:val="13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Podatek</w:t>
            </w:r>
          </w:p>
          <w:p w:rsidR="00F260FF" w:rsidRPr="007D55BA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VAT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D55BA" w:rsidRDefault="00F260FF" w:rsidP="00A81CF1">
            <w:pPr>
              <w:pStyle w:val="13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>Czynsz dzierżawny miesięczny brutto PLN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 xml:space="preserve">Wartość netto za </w:t>
            </w:r>
            <w:r w:rsidR="00256182">
              <w:rPr>
                <w:b/>
                <w:bCs/>
                <w:sz w:val="22"/>
                <w:szCs w:val="22"/>
              </w:rPr>
              <w:t>36</w:t>
            </w:r>
            <w:r w:rsidRPr="007D55BA">
              <w:rPr>
                <w:b/>
                <w:bCs/>
                <w:sz w:val="22"/>
                <w:szCs w:val="22"/>
              </w:rPr>
              <w:t xml:space="preserve"> mies</w:t>
            </w:r>
            <w:r w:rsidR="00256182">
              <w:rPr>
                <w:b/>
                <w:bCs/>
                <w:sz w:val="22"/>
                <w:szCs w:val="22"/>
              </w:rPr>
              <w:t>ięcy</w:t>
            </w:r>
          </w:p>
          <w:p w:rsidR="0056723B" w:rsidRPr="007D55BA" w:rsidRDefault="0056723B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(czynsz miesięczny                netto X 36)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F260FF" w:rsidRDefault="00F260FF" w:rsidP="007839E1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  <w:r w:rsidRPr="007D55BA">
              <w:rPr>
                <w:b/>
                <w:bCs/>
                <w:sz w:val="22"/>
                <w:szCs w:val="22"/>
              </w:rPr>
              <w:t xml:space="preserve">Wartość brutto za </w:t>
            </w:r>
            <w:r w:rsidR="00256182">
              <w:rPr>
                <w:b/>
                <w:bCs/>
                <w:sz w:val="22"/>
                <w:szCs w:val="22"/>
              </w:rPr>
              <w:t>36 miesięcy</w:t>
            </w:r>
          </w:p>
          <w:p w:rsidR="0056723B" w:rsidRPr="007D55BA" w:rsidRDefault="0056723B" w:rsidP="007839E1">
            <w:pPr>
              <w:pStyle w:val="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(wartość netto plus podatek VAT)</w:t>
            </w:r>
          </w:p>
        </w:tc>
      </w:tr>
      <w:tr w:rsidR="00F260FF" w:rsidRPr="009A700B" w:rsidTr="007839E1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182" w:rsidRPr="007839E1" w:rsidRDefault="0056723B" w:rsidP="00A81CF1">
            <w:pPr>
              <w:pStyle w:val="13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Macierze dyskowe, przełączniki oraz zasilacz UPS o parametrach zgodnych z załącznikiem do formularza cenowego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7839E1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hideMark/>
          </w:tcPr>
          <w:p w:rsidR="00F260FF" w:rsidRPr="007839E1" w:rsidRDefault="00F260FF" w:rsidP="00A81CF1">
            <w:pPr>
              <w:pStyle w:val="1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839E1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</w:t>
            </w:r>
            <w:r w:rsidRPr="007839E1">
              <w:rPr>
                <w:rFonts w:asciiTheme="minorHAnsi" w:hAnsiTheme="minorHAnsi" w:cstheme="minorHAnsi"/>
                <w:b/>
                <w:bCs/>
                <w:sz w:val="24"/>
              </w:rPr>
              <w:t>Razem: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545AEA" w:rsidRPr="009A700B" w:rsidRDefault="00545AEA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</w:tbl>
    <w:p w:rsidR="00F260FF" w:rsidRDefault="00F260FF" w:rsidP="00F260FF">
      <w:pPr>
        <w:pStyle w:val="13"/>
        <w:rPr>
          <w:bCs/>
          <w:sz w:val="24"/>
        </w:rPr>
      </w:pPr>
    </w:p>
    <w:p w:rsidR="00AC1EEE" w:rsidRDefault="00AC1EEE" w:rsidP="00AC1EEE"/>
    <w:p w:rsidR="005D1FAA" w:rsidRPr="005D1FAA" w:rsidRDefault="005D1FAA" w:rsidP="005D1FAA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  <w:r w:rsidRPr="005D1FAA">
        <w:rPr>
          <w:rFonts w:ascii="Cambria" w:hAnsi="Cambria" w:cs="Arial"/>
          <w:b/>
        </w:rPr>
        <w:t xml:space="preserve">Termin dostawy </w:t>
      </w:r>
      <w:r w:rsidR="0056723B">
        <w:rPr>
          <w:rFonts w:ascii="Cambria" w:hAnsi="Cambria" w:cs="Arial"/>
          <w:b/>
        </w:rPr>
        <w:t>sprzętu</w:t>
      </w:r>
      <w:r w:rsidRPr="005D1FAA">
        <w:rPr>
          <w:rFonts w:ascii="Cambria" w:hAnsi="Cambria" w:cs="Arial"/>
          <w:b/>
        </w:rPr>
        <w:t xml:space="preserve">: ………… </w:t>
      </w:r>
      <w:r w:rsidR="0056723B">
        <w:rPr>
          <w:rFonts w:ascii="Cambria" w:hAnsi="Cambria" w:cs="Arial"/>
          <w:b/>
        </w:rPr>
        <w:t>tygodni</w:t>
      </w:r>
      <w:r w:rsidRPr="005D1FAA">
        <w:rPr>
          <w:rFonts w:ascii="Cambria" w:hAnsi="Cambria" w:cs="Arial"/>
          <w:b/>
        </w:rPr>
        <w:t xml:space="preserve">(max. </w:t>
      </w:r>
      <w:r w:rsidR="0056723B">
        <w:rPr>
          <w:rFonts w:ascii="Cambria" w:hAnsi="Cambria" w:cs="Arial"/>
          <w:b/>
        </w:rPr>
        <w:t>10</w:t>
      </w:r>
      <w:r w:rsidRPr="005D1FAA">
        <w:rPr>
          <w:rFonts w:ascii="Cambria" w:hAnsi="Cambria" w:cs="Arial"/>
          <w:b/>
        </w:rPr>
        <w:t>)</w:t>
      </w:r>
    </w:p>
    <w:p w:rsidR="00AC1EEE" w:rsidRDefault="00AC1EEE" w:rsidP="00AC1EEE"/>
    <w:p w:rsidR="007B1B31" w:rsidRDefault="007B1B31" w:rsidP="00AC1EEE"/>
    <w:p w:rsidR="007B1B31" w:rsidRDefault="007B1B31" w:rsidP="00AC1EEE"/>
    <w:p w:rsidR="007B1B31" w:rsidRDefault="007B1B31" w:rsidP="00AC1EEE"/>
    <w:p w:rsidR="007B1B31" w:rsidRDefault="007B1B31" w:rsidP="00AC1EEE"/>
    <w:p w:rsidR="007B1B31" w:rsidRDefault="007B1B31" w:rsidP="00AC1EEE"/>
    <w:p w:rsidR="007B1B31" w:rsidRDefault="007B1B31" w:rsidP="00AC1EEE"/>
    <w:p w:rsidR="007B1B31" w:rsidRDefault="007B1B31" w:rsidP="00AC1EEE"/>
    <w:p w:rsidR="007839E1" w:rsidRDefault="007839E1" w:rsidP="00AC1EEE"/>
    <w:p w:rsidR="007B1B31" w:rsidRPr="007B1B31" w:rsidRDefault="007B1B31" w:rsidP="007B1B31">
      <w:pPr>
        <w:suppressAutoHyphens w:val="0"/>
        <w:jc w:val="center"/>
        <w:rPr>
          <w:rFonts w:eastAsiaTheme="minorEastAsia"/>
          <w:lang w:eastAsia="pl-PL"/>
        </w:rPr>
      </w:pPr>
      <w:r w:rsidRPr="007B1B31">
        <w:rPr>
          <w:rFonts w:eastAsiaTheme="minorEastAsia"/>
          <w:b/>
          <w:lang w:eastAsia="pl-PL"/>
        </w:rPr>
        <w:lastRenderedPageBreak/>
        <w:t xml:space="preserve">OPIS PRZEDMIOTU ZAMÓWIENIA </w:t>
      </w:r>
    </w:p>
    <w:p w:rsidR="007B1B31" w:rsidRPr="007B1B31" w:rsidRDefault="007B1B31" w:rsidP="007B1B31">
      <w:pPr>
        <w:suppressAutoHyphens w:val="0"/>
        <w:jc w:val="center"/>
        <w:rPr>
          <w:rFonts w:eastAsiaTheme="minorEastAsia"/>
          <w:b/>
          <w:lang w:eastAsia="pl-PL"/>
        </w:rPr>
      </w:pPr>
    </w:p>
    <w:p w:rsidR="007B1B31" w:rsidRPr="007B1B31" w:rsidRDefault="007B1B31" w:rsidP="007B1B31">
      <w:pPr>
        <w:suppressAutoHyphens w:val="0"/>
        <w:jc w:val="center"/>
        <w:rPr>
          <w:rFonts w:eastAsiaTheme="minorEastAsia"/>
          <w:lang w:eastAsia="pl-PL"/>
        </w:rPr>
      </w:pPr>
      <w:r w:rsidRPr="007B1B31">
        <w:rPr>
          <w:rFonts w:eastAsiaTheme="minorEastAsia"/>
          <w:b/>
          <w:lang w:eastAsia="pl-PL"/>
        </w:rPr>
        <w:t xml:space="preserve">WYMAGANE PARAMETRY TECHNICZNE </w:t>
      </w:r>
    </w:p>
    <w:p w:rsidR="007B1B31" w:rsidRPr="007B1B31" w:rsidRDefault="007B1B31" w:rsidP="007B1B31">
      <w:pPr>
        <w:suppressAutoHyphens w:val="0"/>
        <w:jc w:val="center"/>
        <w:rPr>
          <w:rFonts w:eastAsiaTheme="minorEastAsia"/>
          <w:b/>
          <w:lang w:eastAsia="pl-PL"/>
        </w:rPr>
      </w:pPr>
    </w:p>
    <w:p w:rsidR="007B1B31" w:rsidRPr="007B1B31" w:rsidRDefault="007B1B31" w:rsidP="007B1B31">
      <w:pPr>
        <w:suppressAutoHyphens w:val="0"/>
        <w:jc w:val="center"/>
        <w:rPr>
          <w:rFonts w:eastAsiaTheme="minorEastAsia"/>
          <w:b/>
          <w:lang w:eastAsia="pl-PL"/>
        </w:rPr>
      </w:pPr>
    </w:p>
    <w:p w:rsidR="007B1B31" w:rsidRPr="007B1B31" w:rsidRDefault="007B1B31" w:rsidP="007B1B31">
      <w:pPr>
        <w:numPr>
          <w:ilvl w:val="0"/>
          <w:numId w:val="39"/>
        </w:numPr>
        <w:suppressAutoHyphens w:val="0"/>
        <w:spacing w:after="200" w:line="276" w:lineRule="auto"/>
        <w:contextualSpacing/>
        <w:rPr>
          <w:rFonts w:eastAsiaTheme="minorEastAsia"/>
          <w:b/>
          <w:u w:val="single"/>
          <w:lang w:eastAsia="pl-PL"/>
        </w:rPr>
      </w:pPr>
      <w:r w:rsidRPr="007B1B31">
        <w:rPr>
          <w:rFonts w:eastAsiaTheme="minorEastAsia"/>
          <w:b/>
          <w:u w:val="single"/>
          <w:lang w:eastAsia="pl-PL"/>
        </w:rPr>
        <w:t>Pozycja 1 – Macierze – 2 szt.</w:t>
      </w:r>
    </w:p>
    <w:p w:rsidR="007B1B31" w:rsidRPr="007B1B31" w:rsidRDefault="007B1B31" w:rsidP="007B1B31">
      <w:pPr>
        <w:suppressAutoHyphens w:val="0"/>
        <w:rPr>
          <w:rFonts w:eastAsiaTheme="minorEastAsia"/>
          <w:b/>
          <w:lang w:eastAsia="pl-PL"/>
        </w:rPr>
      </w:pPr>
    </w:p>
    <w:p w:rsidR="007B1B31" w:rsidRPr="007B1B31" w:rsidRDefault="007B1B31" w:rsidP="007B1B31">
      <w:pPr>
        <w:keepNext/>
        <w:keepLines/>
        <w:suppressAutoHyphens w:val="0"/>
        <w:ind w:left="714"/>
        <w:contextualSpacing/>
        <w:rPr>
          <w:rFonts w:eastAsiaTheme="minorEastAsia"/>
          <w:b/>
          <w:bCs/>
          <w:lang w:eastAsia="pl-PL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2474"/>
      </w:tblGrid>
      <w:tr w:rsidR="007B1B31" w:rsidRPr="007B1B31" w:rsidTr="007B1B31"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B31" w:rsidRPr="007B1B31" w:rsidRDefault="007B1B31" w:rsidP="007B1B31">
            <w:pPr>
              <w:keepNext/>
              <w:keepLines/>
              <w:suppressAutoHyphens w:val="0"/>
              <w:ind w:left="-84" w:firstLine="84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B31" w:rsidRPr="007B1B31" w:rsidRDefault="007B1B31" w:rsidP="007B1B31">
            <w:pPr>
              <w:keepNext/>
              <w:keepLines/>
              <w:suppressAutoHyphens w:val="0"/>
              <w:rPr>
                <w:b/>
                <w:lang w:eastAsia="en-US"/>
              </w:rPr>
            </w:pPr>
            <w:r w:rsidRPr="007B1B31">
              <w:rPr>
                <w:b/>
                <w:lang w:eastAsia="en-US"/>
              </w:rPr>
              <w:t>Nazwa parametru</w:t>
            </w:r>
          </w:p>
        </w:tc>
        <w:tc>
          <w:tcPr>
            <w:tcW w:w="124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B31" w:rsidRPr="007B1B31" w:rsidRDefault="007B1B31" w:rsidP="007B1B31">
            <w:pPr>
              <w:keepNext/>
              <w:keepLines/>
              <w:suppressAutoHyphens w:val="0"/>
              <w:rPr>
                <w:b/>
                <w:lang w:eastAsia="en-US"/>
              </w:rPr>
            </w:pPr>
            <w:r w:rsidRPr="007B1B31">
              <w:rPr>
                <w:b/>
                <w:lang w:eastAsia="en-US"/>
              </w:rPr>
              <w:t>Opis parametru/wymagania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Obudowa 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Możliwość zainstalowania co najmniej 12 dysków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o rozmiarze 2,5” cala w obudowie o wysokości 1U.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Architektura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a) Macierz musi umożliwiać instalację kombinacji nośników dyskowych w technologii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dwóch rodzajów równocześnie: SSD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i Flash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b) Urządzenie musi składać się z pojedynczej macierzy dyskowej, zarządzanej z jednego interfejsu GUI, CLI. Za pojedynczą macierz uznaje się rozwiązanie, w którym wszystkie kontrolery są wbudowane wewnętrznie w ramach jednej obudowy lub połączone poprzez przełączniki SAN, jednak rozwiązanie takie musi zagwarantować zarządzanie z jednego interfejsu GUI, CLI wszystkimi kontrolerami.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c) Kontrolery macierzowe muszą wykorzystywać wyłącznie protokół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do komunikacji z dyskami umieszczonymi w macierzy. Zamawiający nie dopuszcza stosowania protokołu SAS do komunikacji nośników dyskowych z kontrolerem.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B1B31" w:rsidRPr="007B1B31" w:rsidRDefault="007B1B31" w:rsidP="007B1B31">
            <w:pPr>
              <w:suppressAutoHyphens w:val="0"/>
              <w:jc w:val="center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jc w:val="center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jc w:val="center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jc w:val="center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Funkcje niezawodnościowe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Wszystkie krytyczne komponenty macierzy takie jak: kontrolery dyskowe, pamięć cache, zasilacze i wentylatory muszą być zdublowane tak, aby awaria pojedynczego elementu nie wpływała na funkcjonowanie całego systemu. Komponenty te muszą być wymienialne w trakcie pracy macierzy.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cechować brak pojedynczego punktu awarii.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Wsparcie dla zasilania z dwóch niezależnych źródeł prądu poprzez nadmiarowe zasilacze typu Hot-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Swap</w:t>
            </w:r>
            <w:proofErr w:type="spellEnd"/>
            <w:r w:rsidRPr="007B1B31">
              <w:rPr>
                <w:rFonts w:eastAsiaTheme="minorEastAsia"/>
                <w:lang w:eastAsia="pl-PL"/>
              </w:rPr>
              <w:t>. Wentylatory typu Hot-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Swap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Zarządzanie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umożliwiać zarządzanie za pomocą interfejsu Ethernet. Możliwość zarządzania całością dostępnych zasobów dyskowych z jednej konsoli administracyjnej.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bezpośredniego monitoringu stanu w jakim w danym momencie macierz się znajduje.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Interfejs zarządzający GUI, CLI, oraz zapewnienie możliwości tworzenia skryptów użytkownika.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Ilość portów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Wymagane jest nie mniej niż 4 x FC 16Gb/s per kontroler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Kontrolery macierzy dyskowej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być wyposażona w minimum 2 kontrolery dyskowe. Każdy z kontrolerów musi udostępniać co najmniej 128GB pamięci cache.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Kontrolery macierzy dyskowej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umożliwiać rozbudowę pamięci cache do 2TB w ramach klastra macierzy zarządzanego z jednego interfejsu GUI, CLI.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 w:val="restart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Funkcjonalności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partycjonowania pamięci cache.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separacji przestrzeni dyskowych pomiędzy różnymi podłączonymi hostami.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dynamicznego zwiększania i zmniejszania rozmiaru wolumenów.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Funkcjonalność zarządzania maksymalną ilością operacji wejścia / wyjścia wykonywanych na danym wolumenie - zarządzanie musi być możliwe zarówno poprzez określenie ilości operacji I/O na sekundę jak również przepustowości określonej w MB/s.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  <w:vMerge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mieć możliwość kompresji 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deduplikacji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dla wszystkich rodzajów dysków. Licencja na tą funkcjonalność musi być zawarta w cenie i musi obejmować zaoferowaną w ramach macierzy przestrzeń dyskową Wsparcie dla kompresji danych w trybie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inline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(„na bieżąco” bez potrzeby zapisywania danych na nośnikach danych w formie nie skompresowanej) dla dostępu blokowego. Licencja na tą funkcjonalność musi być zawarta w cenie i musi obejmować zaoferowaną w ramach macierzy przestrzeń dyskową.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Skalowalność rozwiązania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Liniowa skalowalność parametrów wydajnościowych zasobów dyskowych poprzez dodawanie kolejnych kontrolerów.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4459" w:type="dxa"/>
            <w:gridSpan w:val="2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umożliwiać stworzenie klastra składającego się z co najmniej 4 par kontrolerów.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Obsługiwane poziomy RAID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ma być odporna na awarię jednego dysku (RAID1), lub awarii dwóch dysków (RAID6), Przestrzeń zapasowa powinna być realizowana za pomocą przestrzeni zapasowej rozmieszczonej na wszystkich dyskach w ramach grupy RAID lub w formie dysku nadmiarowego.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Wirtualizacja zasobów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Oferowane rozwiązanie powinna posiadać możliwość wirtualizacji zasobów znajdujących się na innych macierzach dyskowych, w szczególności pochodzących od firm np. HPE, DELL, Fujitsu. Licencja na tą funkcjonalność nie jest przedmiotem tego postępowania.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Optymalizacja wykorzystania </w:t>
            </w:r>
            <w:r w:rsidRPr="007B1B31">
              <w:rPr>
                <w:rFonts w:eastAsiaTheme="minorEastAsia"/>
                <w:lang w:eastAsia="pl-PL"/>
              </w:rPr>
              <w:lastRenderedPageBreak/>
              <w:t>zasobów wewnętrznych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lastRenderedPageBreak/>
              <w:t xml:space="preserve">Macierz musi optymalizować wykorzystanie dysków SSD/ modułów Flash/ HDD, tak aby w ramach tego samego rodzaju dysków (pojemności/prędkości) wszystkie grupy dysków były utylizowane w równym stopniu. Licencja na tą funkcjonalność musi być zawarta w cenie i musi obejmować całą oferowaną pojemność macierzy.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Obsługa wirtualnych dysków logicznych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mieć możliwość rozłożenia wolumenu logicznego pomiędzy co najmniej dwoma różnymi typami dysków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Obsługa wirtualnych dysków logicznych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umożliwiać stworzenie mirrorowanych LUN pomiędzy różnymi macierzami, dla których awaria jednej kopii lustra musi być niezauważalna dla systemu hosta.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Funkcjonalność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thinprovisioning</w:t>
            </w:r>
            <w:proofErr w:type="spellEnd"/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a) Macierz musi obsługiwać funkcjonalność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thinprovisioning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dla wszystkich wolumenów. Należy dostarczyć licencję umożliwiającą korzystanie z funkcji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thinprovisioning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na całą oferowaną pojemność macierzy.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b) Urządzenie musi umożliwiać dynamiczną zmianę rozmiaru woluminów logicznych bez przerywania pracy macierzy i bez przerywania dostępu do danych znajdujących się w danym woluminie.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Kopie migawkowe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Kopie danych typu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snapshot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(PIT) muszą być tworzone w trybach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incremental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,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multitarget</w:t>
            </w:r>
            <w:proofErr w:type="spellEnd"/>
            <w:r w:rsidRPr="007B1B31">
              <w:rPr>
                <w:rFonts w:eastAsiaTheme="minorEastAsia"/>
                <w:lang w:eastAsia="pl-PL"/>
              </w:rPr>
              <w:t>, oraz kopii pełnej oraz kopii wskaźników. Licencja na tą funkcjonalność musi być zawarta w cenie i musi obejmować całą oferowaną pojemność macierzy.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Replikacja danych pomiędzy macierzami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mieć możliwość wykonywania replikacji synchronicznej i asynchronicznej wolumenów logicznych. Zasoby źródłowe kopii zdalnej oraz docelowe kopii zdalnej mogą być zabezpieczone różnymi poziomami RAID i egzystować na różnych technologicznie dyskach stałych (SAS, SSD, SATA). Licencja na tą funkcjonalność musi być zawarta w cenie i musi obejmować zaoferowaną w ramach macierzy przestrzeń dyskową.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Wsparcie systemów operacyjnych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Wsparcie systemów operacyjnych Macierz musi być wspierana przez systemy operacyjne 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wirtualizatory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: MS Windows Server, 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VmwarevSphere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,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RedHat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Enterprise Server 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Niezawodność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Zaoferowane rozwiązanie musi posiadać możliwość implementacji klastra geograficznego. W ramach architektury klastra geograficznego musi być wspierane bezprzerwowe migrowanie maszyn wirtualnych pomiędzy ośrodkami. W przypadku awarii jednego z ośrodków nastąpi bezprzerwowe przełączenie do lokalizacji zapasowej. Powyższa funkcjonalność musi być realizowana niezależnie od systemu operacyjnego na poziomie przełączania ścieżek do urządzenia logicznego. Zamawiający wymaga konfiguracji klastra geograficznego.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Pojemność użytkowa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powinna być wyposażona w przestrzeń użytkową o  wartości minimum 56TB. Zasób ten musi być zabezpieczony przed awarią co najmniej dwóch dysków i posiadać zabezpieczenie w postaci nadmiarowej przestrzeni rozłożonej na wszystkich dyskach w ramach grupy RAID, lub formie dysku nadmiarowego. Przestrzeń ta musi być przestrzenią natywną, bez wykorzystania mechanizmów kompresji 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deduplikacji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dla pojemności opartej o moduły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flashNVMe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Pojemność użytkowa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pozwalać na alokację 85% pojemności użytecznej bez spadku wydajności macierzy (brak zwiększonego czasu odpowiedzi, brak spadku przepustowości macierzy). Wydajność macierzy musi być niezależna od poziomu alokacji przestrzeni macierzy w zakresie od 0% alokacji do wartości 85% wymaganej pojemności użytecznej. Jeżeli oferowane rozwiązanie nie spełnia opisanego wymagania należy dostarczyć co najmniej 20% pojemności użytecznej więcej.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wymaganie standardowe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Kontrolery macierzy muszą posiadać architekturę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bezpieczeństwo danych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a) Dyski/przestrzeń "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spare</w:t>
            </w:r>
            <w:proofErr w:type="spellEnd"/>
            <w:r w:rsidRPr="007B1B31">
              <w:rPr>
                <w:rFonts w:eastAsiaTheme="minorEastAsia"/>
                <w:lang w:eastAsia="pl-PL"/>
              </w:rPr>
              <w:t>" muszą zostać skonfigurowane/dostarczone w ilości/pojemności zgodnej z udokumentowanymi rekomendacjami producenta oferowanej macierzy.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strike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b) Macierz musi posiadać wbudowane sprzętowo szyfrowanie AES-256.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Interfejsy dyskowe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Oferowana pojemność użyteczna musi być zbudowana w oparciu o moduły Flash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NVMe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Obsługiwane dyski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zapewniać obsługę dysków SSD, modułów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flash</w:t>
            </w:r>
            <w:proofErr w:type="spellEnd"/>
            <w:r w:rsidRPr="007B1B31">
              <w:rPr>
                <w:rFonts w:eastAsiaTheme="minorEastAsia"/>
                <w:lang w:eastAsia="pl-PL"/>
              </w:rPr>
              <w:t>, SAS, NL-SAS, modułów Storage Class Memory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Technologia optymalizacji przestrzeni zajmowanej przez dane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Macierz musi wspierać kompresję 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deduplikację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w trybie "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inline</w:t>
            </w:r>
            <w:proofErr w:type="spellEnd"/>
            <w:r w:rsidRPr="007B1B31">
              <w:rPr>
                <w:rFonts w:eastAsiaTheme="minorEastAsia"/>
                <w:lang w:eastAsia="pl-PL"/>
              </w:rPr>
              <w:t>".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Minimalny rozmiar wolumenu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Macierz musi umożliwiać utworzenie wolumenu LUN o rozmiarze co najmniej 200TB (dostęp blokowy)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Wydajność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Oferowana macierz musi zapewniać minimalną wydajność w ramach klastra (połączenie synchronicznego –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remote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miror</w:t>
            </w:r>
            <w:proofErr w:type="spellEnd"/>
            <w:r w:rsidRPr="007B1B31">
              <w:rPr>
                <w:rFonts w:eastAsiaTheme="minorEastAsia"/>
                <w:lang w:eastAsia="pl-PL"/>
              </w:rPr>
              <w:t>) dwóch macierzy: 89 000 IOPS (operacji wejścia/wyjścia) przy następujących założeniach: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Wynik, estymowana wydajność macierzy musi być wykonana przez  autoryzowane narzędzie producenta macierzy (wynik potwierdzony wydrukiem wygenerowanym przez system)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lastRenderedPageBreak/>
              <w:t>podany wynik wydajności musi być wykonany przy 50% obciążeniu systemu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konfiguracja zabezpieczająca przed jednoczesną awarią dowolnych dwóch dysków;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konfiguracja dysków/przestrzeni 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spare</w:t>
            </w:r>
            <w:proofErr w:type="spellEnd"/>
            <w:r w:rsidRPr="007B1B31">
              <w:rPr>
                <w:rFonts w:eastAsiaTheme="minorEastAsia"/>
                <w:lang w:eastAsia="pl-PL"/>
              </w:rPr>
              <w:t>” zgodna z udokumentowanymi rekomendacjami producenta oferowanej macierzy;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średni czas odpowiedzi dla operacji wejścia/wyjścia poniżej 1 ms dla oferowanej macierzy przy podanej wydajności i obciążeniu systemu 50%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średni rozmiar bloku: 8KiB dla operacji odczytu i zapisu („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xfersize</w:t>
            </w:r>
            <w:proofErr w:type="spellEnd"/>
            <w:r w:rsidRPr="007B1B31">
              <w:rPr>
                <w:rFonts w:eastAsiaTheme="minorEastAsia"/>
                <w:lang w:eastAsia="pl-PL"/>
              </w:rPr>
              <w:t>=8K”)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losowy rodzaj operacji wejścia/wyjścia („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seqpct</w:t>
            </w:r>
            <w:proofErr w:type="spellEnd"/>
            <w:r w:rsidRPr="007B1B31">
              <w:rPr>
                <w:rFonts w:eastAsiaTheme="minorEastAsia"/>
                <w:lang w:eastAsia="pl-PL"/>
              </w:rPr>
              <w:t>=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random</w:t>
            </w:r>
            <w:proofErr w:type="spellEnd"/>
            <w:r w:rsidRPr="007B1B31">
              <w:rPr>
                <w:rFonts w:eastAsiaTheme="minorEastAsia"/>
                <w:lang w:eastAsia="pl-PL"/>
              </w:rPr>
              <w:t>”);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70% operacji odczytu i 30% operacji zapisu („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rdpct</w:t>
            </w:r>
            <w:proofErr w:type="spellEnd"/>
            <w:r w:rsidRPr="007B1B31">
              <w:rPr>
                <w:rFonts w:eastAsiaTheme="minorEastAsia"/>
                <w:lang w:eastAsia="pl-PL"/>
              </w:rPr>
              <w:t>=70”);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poziom trafień w cache dla operacji odczytu i zapisu nie większy niż 50% </w:t>
            </w:r>
          </w:p>
          <w:p w:rsidR="007B1B31" w:rsidRPr="007B1B31" w:rsidRDefault="007B1B31" w:rsidP="007B1B3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 zajętość macierzy / alokacja przestrzeni fizycznej do 85% z użyciem danych losowych;</w:t>
            </w:r>
          </w:p>
        </w:tc>
      </w:tr>
      <w:tr w:rsidR="007B1B31" w:rsidRPr="007B1B31" w:rsidTr="007B1B31">
        <w:tc>
          <w:tcPr>
            <w:tcW w:w="425" w:type="dxa"/>
          </w:tcPr>
          <w:p w:rsidR="007B1B31" w:rsidRPr="007B1B31" w:rsidRDefault="007B1B31" w:rsidP="007B1B31">
            <w:pPr>
              <w:numPr>
                <w:ilvl w:val="0"/>
                <w:numId w:val="44"/>
              </w:numPr>
              <w:suppressAutoHyphens w:val="0"/>
              <w:spacing w:after="200" w:line="276" w:lineRule="auto"/>
              <w:ind w:left="-84" w:firstLine="84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1985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Konfiguracja</w:t>
            </w:r>
          </w:p>
        </w:tc>
        <w:tc>
          <w:tcPr>
            <w:tcW w:w="12474" w:type="dxa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Rozwiązanie ma być skonfigurowane w trybie klastra niezawodnościowego działającego w trybie synchronicznym  z wykorzystaniem 2 dostarczanych przełączników FC. Rozwiązanie to musi być wspierane przez producentów oprogramowania do wirtualizacji oraz baz danych Oracle. Rozwiązanie klastra musi być tak skonfigurowane tak aby w razie awarii jednej macierzy (braku do niej dostępu) praca w systemie wykonywana była w sposób ciągły bez zauważalnej przerwy w działaniu systemów.  Zamawiający wymaga przeprowadzenia testów na środowisku testowym przygotowanym przez dostawcę a będącym kopią rozwiązania produkcyjnego Zamawiającego. </w:t>
            </w:r>
            <w:r w:rsidRPr="007B1B31">
              <w:rPr>
                <w:rFonts w:eastAsiaTheme="minorEastAsia"/>
                <w:lang w:eastAsia="pl-PL"/>
              </w:rPr>
              <w:br/>
              <w:t>Konfiguracja musi być wspierana przez serwis producenta macierzy.</w:t>
            </w:r>
          </w:p>
        </w:tc>
      </w:tr>
    </w:tbl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p w:rsid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  <w:r w:rsidRPr="007B1B31">
        <w:rPr>
          <w:rFonts w:eastAsiaTheme="minorEastAsia"/>
          <w:b/>
          <w:bCs/>
          <w:lang w:eastAsia="pl-PL"/>
        </w:rPr>
        <w:lastRenderedPageBreak/>
        <w:t>Pozycja 2 – Przełącznik FC – 2szt.</w:t>
      </w: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47"/>
        <w:gridCol w:w="11667"/>
      </w:tblGrid>
      <w:tr w:rsidR="007B1B31" w:rsidRPr="007B1B31" w:rsidTr="007B1B31">
        <w:tc>
          <w:tcPr>
            <w:tcW w:w="425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b/>
                <w:lang w:eastAsia="pl-PL"/>
              </w:rPr>
            </w:pPr>
            <w:r w:rsidRPr="007B1B31">
              <w:rPr>
                <w:rFonts w:eastAsiaTheme="minorEastAsia"/>
                <w:b/>
                <w:lang w:eastAsia="pl-PL"/>
              </w:rPr>
              <w:t>Lp.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11799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b/>
                <w:bCs/>
                <w:lang w:eastAsia="pl-PL"/>
              </w:rPr>
              <w:t>Opis parametru/wymagania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Typ obudowy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musi być przystosowany do montażu w szafie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rack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19’ o wysokości max. 1U.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Parametry sieciowe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FC musi być wykonany w technologii FC minimum 32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/s i zapewniać możliwość pracy portów FC z prędkościami 32, 16, 8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/s w zależności od rodzaju zastosowanych wkładek SFP. 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 przypadku obsadzenia portu FC za pomocą wkładki SFP 16Gb/s przełącznik musi umożliwiać pracę tego portu z prędkością 16 lub 8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/s, przy czym wybór prędkości musi być możliwy w trybie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autonegocjacji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Przełącznik FC musi być wyposażony, w co najmniej 16 aktywne porty FC.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Wszystkie zaoferowane porty przełącznika FC muszą umożliwiać działanie bez tzw.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oversubscrypcji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gdzie wszystkie porty w maksymalnie rozbudowanej konfiguracji przełącznika mogą pracować równocześnie z pełną prędkością 16Gb/s lub 32Gb/s w zależności do zastosowanych wkładek FC.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Całkowita przepustowość przełącznika FC dostępna dla maksymalnie rozbudowanej konfiguracji wyposażonej we wkładki 32Gb/s musi wynosić minimum 768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>/s end-to-end.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Oczekiwana wartość opóźnienia przy przesyłaniu ramek FC między dowolnymi portami przełącznika nie może być większa niż 900ns.</w:t>
            </w:r>
          </w:p>
          <w:p w:rsidR="007B1B31" w:rsidRPr="007B1B31" w:rsidRDefault="007B1B31" w:rsidP="007B1B31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Rodzaj obsługiwanych portów: E, D, F, S oraz M.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Zainstalowane wkładki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16 wkładek 16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Gb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/s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ShortWave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, Zamawiający wymaga dostarczenia wkładek LR (w ilości koniecznej do prawidłowej konfiguracji) jeżeli wymaga tego konfiguracja wdrażana w ramach postępowania 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Funkcjonalność przełącznika 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FC musi realizować sprzętową obsługę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zoningu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(przez tzw. układ ASIC) na podstawie portów i adresów WWN.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Przełącznik FC musi wspierać następujące mechanizmy zwiększające poziom bezpieczeństwa: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uwierzytelnianie (autentykacja) przełączników w sieci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Fabric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za pomocą protokołów DH-CHAP i FCAP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uwierzytelnianie (autentykacja) urządzeń końcowych w sieci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Fabric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za pomocą protokołu DH-CHAP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szyfrowanie połączenia z konsolą administracyjną. Wsparcie dla SSHv2.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lastRenderedPageBreak/>
              <w:t xml:space="preserve">definiowanie wielu kont administratorów z możliwością ograniczenia ich uprawnień za pomocą mechanizmu tzw. RBAC (Role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Based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Access Control)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definiowane kont administratorów w środowiskach RADIUS, TACACS+, LDAP ze wsparciem IPv6,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OpenLDAP</w:t>
            </w:r>
            <w:proofErr w:type="spellEnd"/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szyfrowanie komunikacji narzędzi administracyjnych za pomocą SSL/HTTPS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obsługa SNMP v1 oraz v3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IP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Filter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dla portu administracyjnego przełącznika</w:t>
            </w:r>
          </w:p>
          <w:p w:rsidR="007B1B31" w:rsidRPr="007B1B31" w:rsidRDefault="007B1B31" w:rsidP="007B1B31">
            <w:pPr>
              <w:numPr>
                <w:ilvl w:val="0"/>
                <w:numId w:val="45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wgrywanie nowych wersji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firmware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przełącznika FC z wykorzystaniem bezpiecznych protokołów SCP oraz SFTP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Przełącznik FC musi być wyposażony w następujące narzędzia diagnostyczne i mechanizmy obsługi ruchu FC:</w:t>
            </w:r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logowanie zdarzeń poprzez mechanizm „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syslog</w:t>
            </w:r>
            <w:proofErr w:type="spellEnd"/>
            <w:r w:rsidRPr="007B1B31">
              <w:rPr>
                <w:rFonts w:eastAsiaTheme="minorEastAsia"/>
                <w:lang w:eastAsia="pl-PL"/>
              </w:rPr>
              <w:t>”,</w:t>
            </w:r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port diagnostyczny tzw.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D_port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. Port diagnostyczny musi umożliwiać wykonanie testów sprawdzających komunikację portu przełącznika z wkładką SFP, połączenie optyczne pomiędzy dwoma przełącznikami oraz pomiar opóźnienia i odległości między przełącznikami. Testy wykonywane przez port diagnostyczny nie mogą wpływać w żaden sposób na działanie pozostałych portów przełącznika i całej sieci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fabric</w:t>
            </w:r>
            <w:proofErr w:type="spellEnd"/>
            <w:r w:rsidRPr="007B1B31">
              <w:rPr>
                <w:rFonts w:eastAsiaTheme="minorEastAsia"/>
                <w:lang w:eastAsia="pl-PL"/>
              </w:rPr>
              <w:t>.</w:t>
            </w:r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proofErr w:type="spellStart"/>
            <w:r w:rsidRPr="007B1B31">
              <w:rPr>
                <w:rFonts w:eastAsiaTheme="minorEastAsia"/>
                <w:lang w:eastAsia="pl-PL"/>
              </w:rPr>
              <w:t>FCping</w:t>
            </w:r>
            <w:proofErr w:type="spellEnd"/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FC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traceroute</w:t>
            </w:r>
            <w:proofErr w:type="spellEnd"/>
          </w:p>
          <w:p w:rsidR="007B1B31" w:rsidRPr="007B1B31" w:rsidRDefault="007B1B31" w:rsidP="007B1B31">
            <w:pPr>
              <w:numPr>
                <w:ilvl w:val="0"/>
                <w:numId w:val="46"/>
              </w:numPr>
              <w:suppressAutoHyphens w:val="0"/>
              <w:spacing w:after="200" w:line="276" w:lineRule="auto"/>
              <w:ind w:left="694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kopiowanie danych wymienianych pomiędzy dwoma wybranymi portami na inny wybrany port przełącznika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Wsparcie dla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N_Port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ID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Virtualization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(NPIV)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3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2660" w:type="dxa"/>
            <w:shd w:val="clear" w:color="auto" w:fill="auto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Zarządzanie</w:t>
            </w:r>
          </w:p>
        </w:tc>
        <w:tc>
          <w:tcPr>
            <w:tcW w:w="11799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Przełącznik FC musi mieć możliwość konfiguracji przez:</w:t>
            </w:r>
          </w:p>
          <w:p w:rsidR="007B1B31" w:rsidRPr="007B1B31" w:rsidRDefault="007B1B31" w:rsidP="007B1B31">
            <w:pPr>
              <w:numPr>
                <w:ilvl w:val="0"/>
                <w:numId w:val="47"/>
              </w:numPr>
              <w:suppressAutoHyphens w:val="0"/>
              <w:spacing w:after="200" w:line="276" w:lineRule="auto"/>
              <w:ind w:left="694" w:hanging="372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polecenia tekstowe w interfejsie znakowym konsoli terminala,</w:t>
            </w:r>
          </w:p>
          <w:p w:rsidR="007B1B31" w:rsidRPr="007B1B31" w:rsidRDefault="007B1B31" w:rsidP="007B1B31">
            <w:pPr>
              <w:numPr>
                <w:ilvl w:val="0"/>
                <w:numId w:val="47"/>
              </w:numPr>
              <w:suppressAutoHyphens w:val="0"/>
              <w:spacing w:after="200" w:line="276" w:lineRule="auto"/>
              <w:ind w:left="694" w:hanging="372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przeglądarkę internetową z interfejsem graficznym lub dedykowane oprogramowanie.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FC musi zapewnić możliwość jego zarządzania przez zintegrowany port 100/1000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Mb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Ethernet, port szeregowy oraz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inband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IP-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over</w:t>
            </w:r>
            <w:proofErr w:type="spellEnd"/>
            <w:r w:rsidRPr="007B1B31">
              <w:rPr>
                <w:rFonts w:eastAsiaTheme="minorEastAsia"/>
                <w:lang w:eastAsia="pl-PL"/>
              </w:rPr>
              <w:t>-FC.</w:t>
            </w:r>
          </w:p>
          <w:p w:rsidR="007B1B31" w:rsidRPr="007B1B31" w:rsidRDefault="007B1B31" w:rsidP="007B1B31">
            <w:pPr>
              <w:numPr>
                <w:ilvl w:val="0"/>
                <w:numId w:val="42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Przełącznik FC musi zapewniać wsparcie dla standardu zarządzającego SMI-S. </w:t>
            </w:r>
          </w:p>
        </w:tc>
      </w:tr>
    </w:tbl>
    <w:p w:rsidR="007B1B31" w:rsidRPr="007B1B31" w:rsidRDefault="007B1B31" w:rsidP="007B1B31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p w:rsidR="007B1B31" w:rsidRPr="007B1B31" w:rsidRDefault="007B1B31" w:rsidP="007B1B31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p w:rsidR="007B1B31" w:rsidRPr="007B1B31" w:rsidRDefault="007B1B31" w:rsidP="007B1B31">
      <w:pPr>
        <w:suppressAutoHyphens w:val="0"/>
        <w:rPr>
          <w:rFonts w:eastAsiaTheme="minorEastAsia"/>
          <w:b/>
          <w:bCs/>
          <w:lang w:eastAsia="pl-PL"/>
        </w:rPr>
      </w:pPr>
      <w:r w:rsidRPr="007B1B31">
        <w:rPr>
          <w:rFonts w:eastAsiaTheme="minorEastAsia"/>
          <w:b/>
          <w:bCs/>
          <w:lang w:eastAsia="pl-PL"/>
        </w:rPr>
        <w:t>Pozycja 3 – UPS – 1szt.</w:t>
      </w:r>
    </w:p>
    <w:p w:rsidR="007B1B31" w:rsidRPr="007B1B31" w:rsidRDefault="007B1B31" w:rsidP="007B1B31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38"/>
        <w:gridCol w:w="9676"/>
      </w:tblGrid>
      <w:tr w:rsidR="007B1B31" w:rsidRPr="007B1B31" w:rsidTr="007B1B31">
        <w:tc>
          <w:tcPr>
            <w:tcW w:w="425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b/>
                <w:lang w:eastAsia="pl-PL"/>
              </w:rPr>
            </w:pPr>
            <w:r w:rsidRPr="007B1B31">
              <w:rPr>
                <w:rFonts w:eastAsiaTheme="minorEastAsia"/>
                <w:b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b/>
                <w:bCs/>
                <w:lang w:eastAsia="pl-PL"/>
              </w:rPr>
              <w:t>Opis parametru/wymagania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Technologia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VFI (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true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on-line, podwójne przetwarzanie energii)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Moc znamionowa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Min. 10kVA / 10kW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Technologia prostownika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Moduły IGBT wysokiej częstotliwości 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Wyjściowy współczynnik mocy (PF)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1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Napięcie wejściowe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400 VAC lub 230 VAC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Wejściowy współczynnik mocy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0,99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Tolerancja napięcia wejściowego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7B1B31">
              <w:rPr>
                <w:color w:val="000000"/>
                <w:lang w:eastAsia="pl-PL"/>
              </w:rPr>
              <w:t>Przy wejściu 3-fazowym: 304-478V (+/- 1%)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Przy wejściu 1-fazowym: 190-304V </w:t>
            </w:r>
            <w:r w:rsidRPr="007B1B31">
              <w:rPr>
                <w:rFonts w:eastAsiaTheme="minorEastAsia"/>
                <w:szCs w:val="22"/>
                <w:lang w:eastAsia="pl-PL"/>
              </w:rPr>
              <w:t>(+/- 1%)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Częstotliwość wejściowa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40-70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Hz</w:t>
            </w:r>
            <w:proofErr w:type="spellEnd"/>
            <w:r w:rsidRPr="007B1B31">
              <w:rPr>
                <w:rFonts w:eastAsiaTheme="minorEastAsia"/>
                <w:lang w:eastAsia="pl-PL"/>
              </w:rPr>
              <w:t xml:space="preserve"> </w:t>
            </w:r>
            <w:r w:rsidRPr="007B1B31"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>(+/- 1%)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Zakres napięcia linii bypassu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od -40% do +15%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Minimalna sprawność AC-AC w trybie pracy on-line z obciążeniem 100%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94%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Minimalna sprawność w trybie ECO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98%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Możliwość rozbudowy mocy w okresie eksploatacji (praca równoległa)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do 4 jednostek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Napięcie wyjściowe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Min. 220V/230V/240 VAC (ustawiane z poziomu LCD) 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Częstotliwość wyjściowa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50/60Hz (programowalna)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Czas podtrzymania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min. 4 minuty dla obciążenia 8kW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Tolerancja napięcia wyjściowego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±1%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Zniekształcenia napięcia wyjściowego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≤ 1% z obciążeniem liniowym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≤ 3% z obciążeniem nieliniowym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Współczynnik szczytu przy obciążeniu znamionowym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3:1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Przeciążenie inwertera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102%-110% przez 10 minut</w:t>
            </w:r>
          </w:p>
          <w:p w:rsidR="007B1B31" w:rsidRPr="007B1B31" w:rsidRDefault="007B1B31" w:rsidP="007B1B31">
            <w:pPr>
              <w:suppressAutoHyphens w:val="0"/>
              <w:spacing w:after="200" w:line="276" w:lineRule="auto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110% -125% przez 1 minutę</w:t>
            </w:r>
          </w:p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125% -150% przez 30 sekund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Złącze interfejsów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RS232 + USB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Interfejs EPO (do wyłącznika ppoż.)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Zintegrowany ręczny bezprzerwowy bypass serwisowy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Baterie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Szczelne, bezobsługowe, </w:t>
            </w:r>
            <w:r w:rsidRPr="007B1B31">
              <w:rPr>
                <w:rFonts w:eastAsiaTheme="minorEastAsia"/>
                <w:lang w:eastAsia="pl-PL"/>
              </w:rPr>
              <w:br/>
              <w:t>w technologii AGM, umieszczone w dodatkowym module bateryjnym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Możliwość oddzielnego zasilania linii bypassu wewnętrznego.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Oprogramowanie zapewniające pełny monitoring, zarządzanie i automatyczny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shut</w:t>
            </w:r>
            <w:proofErr w:type="spellEnd"/>
            <w:r w:rsidRPr="007B1B31">
              <w:rPr>
                <w:rFonts w:eastAsiaTheme="minorEastAsia"/>
                <w:lang w:eastAsia="pl-PL"/>
              </w:rPr>
              <w:t>-down systemu operacyjnego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Poziom hałasu w odległości 1m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≤ 58 </w:t>
            </w:r>
            <w:proofErr w:type="spellStart"/>
            <w:r w:rsidRPr="007B1B31">
              <w:rPr>
                <w:rFonts w:eastAsiaTheme="minorEastAsia"/>
                <w:lang w:eastAsia="pl-PL"/>
              </w:rPr>
              <w:t>dBA</w:t>
            </w:r>
            <w:proofErr w:type="spellEnd"/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 xml:space="preserve">Rejestr zdarzeń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Spełnienie wszystkich obowiązujących norm bezpieczeństwa potwierdzone deklaracją zgodności CE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  <w:tr w:rsidR="007B1B31" w:rsidRPr="007B1B31" w:rsidTr="007B1B31">
        <w:tc>
          <w:tcPr>
            <w:tcW w:w="425" w:type="dxa"/>
            <w:shd w:val="clear" w:color="auto" w:fill="auto"/>
          </w:tcPr>
          <w:p w:rsidR="007B1B31" w:rsidRPr="007B1B31" w:rsidRDefault="007B1B31" w:rsidP="007B1B31">
            <w:pPr>
              <w:numPr>
                <w:ilvl w:val="0"/>
                <w:numId w:val="48"/>
              </w:numPr>
              <w:suppressAutoHyphens w:val="0"/>
              <w:spacing w:after="200" w:line="276" w:lineRule="auto"/>
              <w:contextualSpacing/>
              <w:rPr>
                <w:rFonts w:eastAsiaTheme="minorEastAsia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EastAsia"/>
                <w:lang w:eastAsia="pl-PL"/>
              </w:rPr>
            </w:pPr>
            <w:r w:rsidRPr="007B1B31">
              <w:rPr>
                <w:rFonts w:eastAsiaTheme="minorEastAsia"/>
                <w:lang w:eastAsia="pl-PL"/>
              </w:rPr>
              <w:t>Instrukcja w języku polskim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B1B31" w:rsidRPr="007B1B31" w:rsidRDefault="007B1B31" w:rsidP="007B1B31">
            <w:pPr>
              <w:suppressAutoHyphens w:val="0"/>
              <w:rPr>
                <w:rFonts w:eastAsiaTheme="minorHAnsi"/>
                <w:lang w:eastAsia="en-US"/>
              </w:rPr>
            </w:pPr>
            <w:r w:rsidRPr="007B1B31">
              <w:rPr>
                <w:rFonts w:eastAsiaTheme="minorEastAsia"/>
                <w:lang w:eastAsia="pl-PL"/>
              </w:rPr>
              <w:t>TAK</w:t>
            </w:r>
          </w:p>
        </w:tc>
      </w:tr>
    </w:tbl>
    <w:p w:rsidR="007B1B31" w:rsidRPr="007B1B31" w:rsidRDefault="007B1B31" w:rsidP="007B1B31">
      <w:pPr>
        <w:suppressAutoHyphens w:val="0"/>
        <w:spacing w:after="200" w:line="276" w:lineRule="auto"/>
        <w:rPr>
          <w:rFonts w:eastAsiaTheme="minorEastAsia"/>
          <w:lang w:eastAsia="pl-PL"/>
        </w:rPr>
      </w:pPr>
    </w:p>
    <w:p w:rsidR="007839E1" w:rsidRDefault="007839E1" w:rsidP="00AC1EEE"/>
    <w:sectPr w:rsidR="007839E1" w:rsidSect="00256182">
      <w:pgSz w:w="16838" w:h="11906" w:orient="landscape"/>
      <w:pgMar w:top="1800" w:right="1276" w:bottom="1588" w:left="141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33" w:rsidRDefault="00A90833">
      <w:r>
        <w:separator/>
      </w:r>
    </w:p>
  </w:endnote>
  <w:endnote w:type="continuationSeparator" w:id="0">
    <w:p w:rsidR="00A90833" w:rsidRDefault="00A9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33" w:rsidRDefault="00A90833">
      <w:r>
        <w:separator/>
      </w:r>
    </w:p>
  </w:footnote>
  <w:footnote w:type="continuationSeparator" w:id="0">
    <w:p w:rsidR="00A90833" w:rsidRDefault="00A9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 w15:restartNumberingAfterBreak="0">
    <w:nsid w:val="242B3C77"/>
    <w:multiLevelType w:val="hybridMultilevel"/>
    <w:tmpl w:val="C5AC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2A7EAC"/>
    <w:multiLevelType w:val="hybridMultilevel"/>
    <w:tmpl w:val="AA088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4F11"/>
    <w:multiLevelType w:val="hybridMultilevel"/>
    <w:tmpl w:val="E5E8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7BC9"/>
    <w:multiLevelType w:val="hybridMultilevel"/>
    <w:tmpl w:val="2B26D22A"/>
    <w:lvl w:ilvl="0" w:tplc="5686E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04F04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61BC8"/>
    <w:multiLevelType w:val="hybridMultilevel"/>
    <w:tmpl w:val="A442E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35AF4"/>
    <w:multiLevelType w:val="hybridMultilevel"/>
    <w:tmpl w:val="FC66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D3AC2"/>
    <w:multiLevelType w:val="hybridMultilevel"/>
    <w:tmpl w:val="DD4423D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2045D9"/>
    <w:multiLevelType w:val="hybridMultilevel"/>
    <w:tmpl w:val="EFFAD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E210C"/>
    <w:multiLevelType w:val="hybridMultilevel"/>
    <w:tmpl w:val="2B26D22A"/>
    <w:lvl w:ilvl="0" w:tplc="5686E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04F04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56261"/>
    <w:multiLevelType w:val="hybridMultilevel"/>
    <w:tmpl w:val="FFF058B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38"/>
  </w:num>
  <w:num w:numId="5">
    <w:abstractNumId w:val="33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</w:num>
  <w:num w:numId="10">
    <w:abstractNumId w:val="37"/>
  </w:num>
  <w:num w:numId="11">
    <w:abstractNumId w:val="1"/>
  </w:num>
  <w:num w:numId="12">
    <w:abstractNumId w:val="21"/>
  </w:num>
  <w:num w:numId="13">
    <w:abstractNumId w:val="7"/>
  </w:num>
  <w:num w:numId="14">
    <w:abstractNumId w:val="27"/>
  </w:num>
  <w:num w:numId="15">
    <w:abstractNumId w:val="30"/>
  </w:num>
  <w:num w:numId="16">
    <w:abstractNumId w:val="11"/>
  </w:num>
  <w:num w:numId="17">
    <w:abstractNumId w:val="32"/>
  </w:num>
  <w:num w:numId="18">
    <w:abstractNumId w:val="44"/>
  </w:num>
  <w:num w:numId="19">
    <w:abstractNumId w:val="4"/>
  </w:num>
  <w:num w:numId="20">
    <w:abstractNumId w:val="41"/>
  </w:num>
  <w:num w:numId="21">
    <w:abstractNumId w:val="28"/>
  </w:num>
  <w:num w:numId="22">
    <w:abstractNumId w:val="40"/>
  </w:num>
  <w:num w:numId="23">
    <w:abstractNumId w:val="24"/>
  </w:num>
  <w:num w:numId="24">
    <w:abstractNumId w:val="25"/>
  </w:num>
  <w:num w:numId="25">
    <w:abstractNumId w:val="2"/>
  </w:num>
  <w:num w:numId="26">
    <w:abstractNumId w:val="18"/>
  </w:num>
  <w:num w:numId="27">
    <w:abstractNumId w:val="43"/>
  </w:num>
  <w:num w:numId="28">
    <w:abstractNumId w:val="9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6"/>
  </w:num>
  <w:num w:numId="36">
    <w:abstractNumId w:val="39"/>
  </w:num>
  <w:num w:numId="37">
    <w:abstractNumId w:val="14"/>
  </w:num>
  <w:num w:numId="38">
    <w:abstractNumId w:val="22"/>
  </w:num>
  <w:num w:numId="39">
    <w:abstractNumId w:val="36"/>
  </w:num>
  <w:num w:numId="40">
    <w:abstractNumId w:val="15"/>
  </w:num>
  <w:num w:numId="41">
    <w:abstractNumId w:val="26"/>
  </w:num>
  <w:num w:numId="42">
    <w:abstractNumId w:val="12"/>
  </w:num>
  <w:num w:numId="43">
    <w:abstractNumId w:val="45"/>
  </w:num>
  <w:num w:numId="44">
    <w:abstractNumId w:val="20"/>
  </w:num>
  <w:num w:numId="45">
    <w:abstractNumId w:val="16"/>
  </w:num>
  <w:num w:numId="46">
    <w:abstractNumId w:val="31"/>
  </w:num>
  <w:num w:numId="47">
    <w:abstractNumId w:val="4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728D8"/>
    <w:rsid w:val="00185E80"/>
    <w:rsid w:val="001A0384"/>
    <w:rsid w:val="001C12FA"/>
    <w:rsid w:val="00206665"/>
    <w:rsid w:val="002178AD"/>
    <w:rsid w:val="00221101"/>
    <w:rsid w:val="0023041F"/>
    <w:rsid w:val="00236C71"/>
    <w:rsid w:val="00247ADE"/>
    <w:rsid w:val="00250CE7"/>
    <w:rsid w:val="00256182"/>
    <w:rsid w:val="0025687A"/>
    <w:rsid w:val="00263263"/>
    <w:rsid w:val="00273C9B"/>
    <w:rsid w:val="00286F5A"/>
    <w:rsid w:val="002A6778"/>
    <w:rsid w:val="002B1270"/>
    <w:rsid w:val="002D3AA2"/>
    <w:rsid w:val="002D4BC9"/>
    <w:rsid w:val="002D528B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80341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5AEA"/>
    <w:rsid w:val="005462E1"/>
    <w:rsid w:val="0055003A"/>
    <w:rsid w:val="0056723B"/>
    <w:rsid w:val="005831CC"/>
    <w:rsid w:val="00587627"/>
    <w:rsid w:val="00592B0D"/>
    <w:rsid w:val="00594748"/>
    <w:rsid w:val="005D1FAA"/>
    <w:rsid w:val="005D3060"/>
    <w:rsid w:val="005E0AA7"/>
    <w:rsid w:val="005E3801"/>
    <w:rsid w:val="005F394B"/>
    <w:rsid w:val="00607D73"/>
    <w:rsid w:val="00625279"/>
    <w:rsid w:val="0062547C"/>
    <w:rsid w:val="00632B8E"/>
    <w:rsid w:val="0064128E"/>
    <w:rsid w:val="006452BF"/>
    <w:rsid w:val="006461DE"/>
    <w:rsid w:val="00697252"/>
    <w:rsid w:val="006A77E9"/>
    <w:rsid w:val="006B0B50"/>
    <w:rsid w:val="006B417F"/>
    <w:rsid w:val="006B57A4"/>
    <w:rsid w:val="006D5A04"/>
    <w:rsid w:val="006E577D"/>
    <w:rsid w:val="006F6023"/>
    <w:rsid w:val="00730A41"/>
    <w:rsid w:val="00735D02"/>
    <w:rsid w:val="00736C90"/>
    <w:rsid w:val="00765336"/>
    <w:rsid w:val="00766846"/>
    <w:rsid w:val="007839E1"/>
    <w:rsid w:val="00796F78"/>
    <w:rsid w:val="007A60B7"/>
    <w:rsid w:val="007B1B31"/>
    <w:rsid w:val="007C3069"/>
    <w:rsid w:val="007D55BA"/>
    <w:rsid w:val="007E35CE"/>
    <w:rsid w:val="007F5CA0"/>
    <w:rsid w:val="00800A26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2F2D"/>
    <w:rsid w:val="00944167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C1EEE"/>
    <w:rsid w:val="00AD2DBB"/>
    <w:rsid w:val="00AD7E0D"/>
    <w:rsid w:val="00B1341B"/>
    <w:rsid w:val="00B137D3"/>
    <w:rsid w:val="00B303A4"/>
    <w:rsid w:val="00B3437D"/>
    <w:rsid w:val="00B55A2C"/>
    <w:rsid w:val="00B56C37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590A"/>
    <w:rsid w:val="00C952B3"/>
    <w:rsid w:val="00CB1B27"/>
    <w:rsid w:val="00CB298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42C7A"/>
    <w:rsid w:val="00D57700"/>
    <w:rsid w:val="00D63BCC"/>
    <w:rsid w:val="00D67761"/>
    <w:rsid w:val="00D855C5"/>
    <w:rsid w:val="00DB3C36"/>
    <w:rsid w:val="00DB5692"/>
    <w:rsid w:val="00DC5B33"/>
    <w:rsid w:val="00DD1032"/>
    <w:rsid w:val="00DD60B9"/>
    <w:rsid w:val="00DE5FA4"/>
    <w:rsid w:val="00DF1361"/>
    <w:rsid w:val="00DF1DF1"/>
    <w:rsid w:val="00E015B5"/>
    <w:rsid w:val="00E031F0"/>
    <w:rsid w:val="00E048B0"/>
    <w:rsid w:val="00E079E9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192E25CB"/>
  <w15:docId w15:val="{4E9D04F5-514F-41CB-9B3B-6DB457A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uiPriority w:val="99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table" w:styleId="Tabela-Siatka">
    <w:name w:val="Table Grid"/>
    <w:basedOn w:val="Standardowy"/>
    <w:uiPriority w:val="39"/>
    <w:rsid w:val="00AC1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9DEE-1273-4F9D-87A5-FC98879D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17126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Tomasz Telesz</cp:lastModifiedBy>
  <cp:revision>14</cp:revision>
  <cp:lastPrinted>2023-06-16T08:59:00Z</cp:lastPrinted>
  <dcterms:created xsi:type="dcterms:W3CDTF">2023-04-25T10:47:00Z</dcterms:created>
  <dcterms:modified xsi:type="dcterms:W3CDTF">2023-06-16T11:19:00Z</dcterms:modified>
</cp:coreProperties>
</file>