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491F31" w:rsidP="009462A0">
      <w:pPr>
        <w:pStyle w:val="Tytu"/>
        <w:spacing w:after="60" w:line="276" w:lineRule="auto"/>
        <w:rPr>
          <w:rFonts w:ascii="Cambria" w:hAnsi="Cambria" w:cs="Arial"/>
          <w:iCs/>
          <w:u w:val="single"/>
          <w:lang w:val="pl-PL"/>
        </w:rPr>
      </w:pPr>
      <w:r>
        <w:rPr>
          <w:rFonts w:ascii="Cambria" w:hAnsi="Cambria" w:cs="Arial"/>
          <w:iCs/>
          <w:u w:val="single"/>
          <w:lang w:val="pl-PL"/>
        </w:rPr>
        <w:t>Dostawa środków dezynfekcyjnych</w:t>
      </w:r>
      <w:r w:rsidR="000534AF">
        <w:rPr>
          <w:rFonts w:ascii="Cambria" w:hAnsi="Cambria" w:cs="Arial"/>
          <w:iCs/>
          <w:u w:val="single"/>
          <w:lang w:val="pl-PL"/>
        </w:rPr>
        <w:t>.</w:t>
      </w:r>
    </w:p>
    <w:p w:rsidR="000102C3" w:rsidRPr="007D6960" w:rsidRDefault="005F239C" w:rsidP="00BF6BFA">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BF6BFA">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F6BFA">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BF6BFA">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BF6BFA">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F6BFA">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BF6BFA">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BF6BFA">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w:t>
      </w:r>
      <w:r w:rsidR="009E1BD9">
        <w:rPr>
          <w:rFonts w:ascii="Cambria" w:hAnsi="Cambria" w:cs="Arial"/>
          <w:b/>
          <w:bCs/>
          <w:i/>
          <w:iCs/>
          <w:sz w:val="20"/>
          <w:szCs w:val="20"/>
          <w:u w:val="single"/>
        </w:rPr>
        <w:t>pełniają warunki udziału w postę</w:t>
      </w:r>
      <w:r w:rsidRPr="00702C6B">
        <w:rPr>
          <w:rFonts w:ascii="Cambria" w:hAnsi="Cambria" w:cs="Arial"/>
          <w:b/>
          <w:bCs/>
          <w:i/>
          <w:iCs/>
          <w:sz w:val="20"/>
          <w:szCs w:val="20"/>
          <w:u w:val="single"/>
        </w:rPr>
        <w:t>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Default="00F06D62" w:rsidP="00702C6B">
      <w:pPr>
        <w:autoSpaceDE w:val="0"/>
        <w:autoSpaceDN w:val="0"/>
        <w:adjustRightInd w:val="0"/>
        <w:spacing w:line="276" w:lineRule="auto"/>
        <w:jc w:val="both"/>
        <w:rPr>
          <w:rFonts w:ascii="Cambria" w:hAnsi="Cambria" w:cs="Arial"/>
          <w:bCs/>
          <w:iCs/>
          <w:sz w:val="20"/>
          <w:szCs w:val="20"/>
        </w:rPr>
      </w:pPr>
      <w:r w:rsidRPr="00F06D62">
        <w:rPr>
          <w:rFonts w:ascii="Cambria" w:hAnsi="Cambria" w:cs="Arial"/>
          <w:bCs/>
          <w:iCs/>
          <w:sz w:val="20"/>
          <w:szCs w:val="20"/>
        </w:rPr>
        <w:t>Zamawiający stwierdzi spełnienie powyższego warunku na podstawie złożonej przez Wykonawcę koncesji, zezwolenia, licencji lub dokumentu potwierdzającego, że wykonawca jest  wpisany do jednego z rejestrów zawodowych lub handlowych, prowadzonych w państwie członkowskim Unii Europejskiej, w którym wykonawca ma siedzibę lub miejsce zamieszkania</w:t>
      </w:r>
    </w:p>
    <w:p w:rsidR="00F06D62" w:rsidRPr="00702C6B" w:rsidRDefault="00F06D62"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Default="009E6161" w:rsidP="00702C6B">
      <w:pPr>
        <w:autoSpaceDE w:val="0"/>
        <w:autoSpaceDN w:val="0"/>
        <w:adjustRightInd w:val="0"/>
        <w:spacing w:line="276" w:lineRule="auto"/>
        <w:jc w:val="both"/>
        <w:rPr>
          <w:rFonts w:ascii="Cambria" w:hAnsi="Cambria" w:cs="Arial"/>
          <w:bCs/>
          <w:iCs/>
          <w:sz w:val="20"/>
          <w:szCs w:val="20"/>
        </w:rPr>
      </w:pPr>
    </w:p>
    <w:p w:rsidR="00B374DA" w:rsidRDefault="00B374DA" w:rsidP="00702C6B">
      <w:pPr>
        <w:autoSpaceDE w:val="0"/>
        <w:autoSpaceDN w:val="0"/>
        <w:adjustRightInd w:val="0"/>
        <w:spacing w:line="276" w:lineRule="auto"/>
        <w:jc w:val="both"/>
        <w:rPr>
          <w:rFonts w:ascii="Cambria" w:hAnsi="Cambria" w:cs="Arial"/>
          <w:bCs/>
          <w:iCs/>
          <w:sz w:val="20"/>
          <w:szCs w:val="20"/>
        </w:rPr>
      </w:pPr>
    </w:p>
    <w:p w:rsidR="00B374DA" w:rsidRPr="00702C6B" w:rsidRDefault="00B374DA"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lastRenderedPageBreak/>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F6BFA">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0" w:name="_Hlk60466352"/>
      <w:r w:rsidR="009E1BD9">
        <w:rPr>
          <w:rFonts w:ascii="Cambria" w:hAnsi="Cambria"/>
          <w:b/>
          <w:sz w:val="20"/>
          <w:szCs w:val="20"/>
          <w:lang w:val="pl-PL"/>
        </w:rPr>
        <w:t>Dostawa środków dezynfekcyjnych w zakresie 4 części</w:t>
      </w:r>
      <w:r w:rsidR="005E7D44">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p w:rsidR="00B374DA" w:rsidRPr="00B374DA" w:rsidRDefault="0007448E" w:rsidP="0025060A">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 xml:space="preserve">            </w:t>
      </w:r>
      <w:r w:rsidR="000606C8">
        <w:rPr>
          <w:rFonts w:ascii="Cambria" w:hAnsi="Cambria"/>
          <w:b/>
          <w:sz w:val="20"/>
          <w:szCs w:val="20"/>
          <w:lang w:val="pl-PL"/>
        </w:rPr>
        <w:t xml:space="preserve"> </w:t>
      </w:r>
      <w:r w:rsidR="00D05FC0">
        <w:rPr>
          <w:rFonts w:ascii="Cambria" w:hAnsi="Cambria"/>
          <w:b/>
          <w:sz w:val="20"/>
          <w:szCs w:val="20"/>
          <w:lang w:val="pl-PL"/>
        </w:rPr>
        <w:t xml:space="preserve">  </w:t>
      </w:r>
      <w:r w:rsidR="00930CA5">
        <w:rPr>
          <w:rFonts w:ascii="Cambria" w:hAnsi="Cambria"/>
          <w:b/>
          <w:sz w:val="20"/>
          <w:szCs w:val="20"/>
          <w:lang w:val="pl-PL"/>
        </w:rPr>
        <w:t>Szczegółowy opis przedmiotu zamówienia określony został w załączniku nr 1 do swz.</w:t>
      </w:r>
      <w:bookmarkStart w:id="1" w:name="_GoBack"/>
      <w:bookmarkEnd w:id="1"/>
    </w:p>
    <w:bookmarkEnd w:id="0"/>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E1BD9">
        <w:rPr>
          <w:rFonts w:ascii="Cambria" w:hAnsi="Cambria" w:cs="Arial"/>
          <w:sz w:val="20"/>
          <w:szCs w:val="20"/>
        </w:rPr>
        <w:t>: 33631600-8</w:t>
      </w:r>
      <w:r w:rsidR="009519DD">
        <w:rPr>
          <w:rFonts w:ascii="Cambria" w:hAnsi="Cambria" w:cs="Arial"/>
          <w:sz w:val="20"/>
          <w:szCs w:val="20"/>
        </w:rPr>
        <w:t>.</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F6BFA">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Default="00604514" w:rsidP="00BF6BFA">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DB7A65">
        <w:rPr>
          <w:rFonts w:ascii="Cambria" w:hAnsi="Cambria" w:cs="Arial"/>
          <w:sz w:val="20"/>
          <w:szCs w:val="20"/>
        </w:rPr>
        <w:t>1</w:t>
      </w:r>
      <w:r w:rsidR="009E1BD9">
        <w:rPr>
          <w:rFonts w:ascii="Cambria" w:hAnsi="Cambria" w:cs="Arial"/>
          <w:sz w:val="20"/>
          <w:szCs w:val="20"/>
        </w:rPr>
        <w:t>2 miesięcy</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9E1BD9">
      <w:pPr>
        <w:spacing w:after="240" w:line="276" w:lineRule="auto"/>
        <w:ind w:left="851" w:hanging="425"/>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9E1BD9">
      <w:pPr>
        <w:spacing w:after="240" w:line="276" w:lineRule="auto"/>
        <w:ind w:left="851" w:hanging="425"/>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xml:space="preserve">. Oświadczenie dotyczące wielkości przedsiębiorstwa- wzór zawarty jest w załączniku  nr 2 do </w:t>
      </w:r>
      <w:r w:rsidR="009E1BD9">
        <w:rPr>
          <w:rFonts w:ascii="Cambria" w:hAnsi="Cambria" w:cs="Arial"/>
          <w:sz w:val="20"/>
          <w:szCs w:val="20"/>
        </w:rPr>
        <w:t xml:space="preserve">   </w:t>
      </w:r>
      <w:r w:rsidRPr="002A3B30">
        <w:rPr>
          <w:rFonts w:ascii="Cambria" w:hAnsi="Cambria" w:cs="Arial"/>
          <w:sz w:val="20"/>
          <w:szCs w:val="20"/>
        </w:rPr>
        <w:t>SWZ</w:t>
      </w:r>
      <w:r>
        <w:rPr>
          <w:rFonts w:ascii="Cambria" w:hAnsi="Cambria" w:cs="Arial"/>
          <w:sz w:val="20"/>
          <w:szCs w:val="20"/>
        </w:rPr>
        <w:t>.</w:t>
      </w:r>
    </w:p>
    <w:p w:rsidR="009E1BD9" w:rsidRDefault="009E1BD9" w:rsidP="00BF6BFA">
      <w:pPr>
        <w:pStyle w:val="Akapitzlist"/>
        <w:numPr>
          <w:ilvl w:val="1"/>
          <w:numId w:val="36"/>
        </w:numPr>
        <w:spacing w:after="240"/>
        <w:jc w:val="both"/>
        <w:rPr>
          <w:rFonts w:ascii="Cambria" w:hAnsi="Cambria" w:cs="Arial"/>
          <w:sz w:val="20"/>
          <w:szCs w:val="20"/>
        </w:rPr>
      </w:pPr>
      <w:r w:rsidRPr="009E1BD9">
        <w:rPr>
          <w:rFonts w:ascii="Cambria" w:hAnsi="Cambria" w:cs="Arial"/>
          <w:sz w:val="20"/>
          <w:szCs w:val="20"/>
        </w:rPr>
        <w:t>Wpis do rejestru wyrobów medycznych – w przypadkach wymaganych prawem  - dotyczy wszystkich wyrobów medycznych.</w:t>
      </w:r>
    </w:p>
    <w:p w:rsidR="009E1BD9" w:rsidRDefault="009E1BD9" w:rsidP="00BF6BFA">
      <w:pPr>
        <w:pStyle w:val="Akapitzlist"/>
        <w:numPr>
          <w:ilvl w:val="1"/>
          <w:numId w:val="36"/>
        </w:numPr>
        <w:spacing w:after="240"/>
        <w:jc w:val="both"/>
        <w:rPr>
          <w:rFonts w:ascii="Cambria" w:hAnsi="Cambria" w:cs="Arial"/>
          <w:sz w:val="20"/>
          <w:szCs w:val="20"/>
        </w:rPr>
      </w:pPr>
      <w:r w:rsidRPr="009E1BD9">
        <w:rPr>
          <w:rFonts w:ascii="Cambria" w:hAnsi="Cambria" w:cs="Arial"/>
          <w:sz w:val="20"/>
          <w:szCs w:val="20"/>
        </w:rPr>
        <w:t>Deklaracja zgodności CE (Dz. U. nr 93 z 2004 r. poz. 896 z późn.  zm.) - dotyczy wszystkich wyrobów medycznych.</w:t>
      </w:r>
    </w:p>
    <w:p w:rsidR="009E1BD9" w:rsidRDefault="009E1BD9" w:rsidP="00BF6BFA">
      <w:pPr>
        <w:pStyle w:val="Akapitzlist"/>
        <w:numPr>
          <w:ilvl w:val="1"/>
          <w:numId w:val="36"/>
        </w:numPr>
        <w:spacing w:after="240"/>
        <w:jc w:val="both"/>
        <w:rPr>
          <w:rFonts w:ascii="Cambria" w:hAnsi="Cambria" w:cs="Arial"/>
          <w:sz w:val="20"/>
          <w:szCs w:val="20"/>
        </w:rPr>
      </w:pPr>
      <w:r w:rsidRPr="009E1BD9">
        <w:rPr>
          <w:rFonts w:ascii="Cambria" w:hAnsi="Cambria" w:cs="Arial"/>
          <w:sz w:val="20"/>
          <w:szCs w:val="20"/>
        </w:rPr>
        <w:t>Pozwolenie na wprowadzenie do obrotu wpisane do Rejestru Produktów Biobójczych – dotyczy preparatów o statusie  produktu biobójczego.</w:t>
      </w:r>
    </w:p>
    <w:p w:rsidR="00E87079" w:rsidRDefault="009E1BD9" w:rsidP="00BF6BFA">
      <w:pPr>
        <w:pStyle w:val="Akapitzlist"/>
        <w:numPr>
          <w:ilvl w:val="1"/>
          <w:numId w:val="36"/>
        </w:numPr>
        <w:spacing w:after="240"/>
        <w:jc w:val="both"/>
        <w:rPr>
          <w:rFonts w:ascii="Cambria" w:hAnsi="Cambria" w:cs="Arial"/>
          <w:sz w:val="20"/>
          <w:szCs w:val="20"/>
        </w:rPr>
      </w:pPr>
      <w:r w:rsidRPr="009E1BD9">
        <w:rPr>
          <w:rFonts w:ascii="Cambria" w:hAnsi="Cambria" w:cs="Arial"/>
          <w:sz w:val="20"/>
          <w:szCs w:val="20"/>
        </w:rPr>
        <w:t>Świadectwo rejestracji antyseptyków jako produktu leczniczego – zgodnie z Komunikatem Prezesa Urzędu Rejestracji Produktów Leczniczych, Wyrobów Medycznych i Produktów Biobójczych z dnia 4 grudnia 2007 r. w sprawie klas</w:t>
      </w:r>
      <w:r w:rsidR="00E87079">
        <w:rPr>
          <w:rFonts w:ascii="Cambria" w:hAnsi="Cambria" w:cs="Arial"/>
          <w:sz w:val="20"/>
          <w:szCs w:val="20"/>
        </w:rPr>
        <w:t>yfikacji produktów z pogranicza.</w:t>
      </w:r>
    </w:p>
    <w:p w:rsidR="009E1BD9" w:rsidRDefault="009E1BD9" w:rsidP="00BF6BFA">
      <w:pPr>
        <w:pStyle w:val="Akapitzlist"/>
        <w:numPr>
          <w:ilvl w:val="1"/>
          <w:numId w:val="36"/>
        </w:numPr>
        <w:spacing w:after="240"/>
        <w:jc w:val="both"/>
        <w:rPr>
          <w:rFonts w:ascii="Cambria" w:hAnsi="Cambria" w:cs="Arial"/>
          <w:sz w:val="20"/>
          <w:szCs w:val="20"/>
        </w:rPr>
      </w:pPr>
      <w:r w:rsidRPr="009E1BD9">
        <w:rPr>
          <w:rFonts w:ascii="Cambria" w:hAnsi="Cambria" w:cs="Arial"/>
          <w:sz w:val="20"/>
          <w:szCs w:val="20"/>
        </w:rPr>
        <w:t>Aktualna Karta charakterystyki preparatu niebezpiecznego zg. z art. 31 ust.9 rozporządzenia  REACH [ROZPORZĄDZENIE KOMISJI (UE) 2015/830  z dnia 28 maja 2015 r. z wyłączeniem produktów leczniczych.</w:t>
      </w:r>
    </w:p>
    <w:p w:rsidR="009E1BD9" w:rsidRDefault="009E1BD9" w:rsidP="00BF6BFA">
      <w:pPr>
        <w:pStyle w:val="Akapitzlist"/>
        <w:numPr>
          <w:ilvl w:val="1"/>
          <w:numId w:val="36"/>
        </w:numPr>
        <w:spacing w:after="240"/>
        <w:jc w:val="both"/>
        <w:rPr>
          <w:rFonts w:ascii="Cambria" w:hAnsi="Cambria" w:cs="Arial"/>
          <w:sz w:val="20"/>
          <w:szCs w:val="20"/>
        </w:rPr>
      </w:pPr>
      <w:r w:rsidRPr="009E1BD9">
        <w:rPr>
          <w:rFonts w:ascii="Cambria" w:hAnsi="Cambria" w:cs="Arial"/>
          <w:sz w:val="20"/>
          <w:szCs w:val="20"/>
        </w:rPr>
        <w:t>Dokumenty potwierdzające skuteczność preparatów dezynfekcyjnych wykonanych metodami uznanymi międzynarodowo lub opisanymi w Polskich Normach lub innymi metodami zaakceptowanymi przez Prezesa Urzędu Rejestracji Produktów Leczniczych, Wyrobów Medycznych i Produktów Biobójczych.</w:t>
      </w:r>
    </w:p>
    <w:p w:rsidR="000C6E69" w:rsidRDefault="000C6E69" w:rsidP="00E87079">
      <w:pPr>
        <w:pStyle w:val="Akapitzlist"/>
        <w:numPr>
          <w:ilvl w:val="1"/>
          <w:numId w:val="36"/>
        </w:numPr>
        <w:tabs>
          <w:tab w:val="left" w:pos="993"/>
        </w:tabs>
        <w:spacing w:after="240"/>
        <w:jc w:val="both"/>
        <w:rPr>
          <w:rFonts w:ascii="Cambria" w:hAnsi="Cambria" w:cs="Arial"/>
          <w:sz w:val="20"/>
          <w:szCs w:val="20"/>
        </w:rPr>
      </w:pPr>
      <w:r w:rsidRPr="009E1BD9">
        <w:rPr>
          <w:rFonts w:ascii="Cambria" w:hAnsi="Cambria" w:cs="Arial"/>
          <w:sz w:val="20"/>
          <w:szCs w:val="20"/>
        </w:rPr>
        <w:t>W przypadku realizacji zamówienia przy udziale podwykonawców należy złożyć oświadczenie wskazujące podwykonawcę i część zamówienia, która będzie przez niego realizowana - wzór zawarty jest w załączniku  nr 2 do SWZ.</w:t>
      </w:r>
    </w:p>
    <w:p w:rsidR="000C6E69" w:rsidRPr="009E1BD9" w:rsidRDefault="000C6E69" w:rsidP="00BF6BFA">
      <w:pPr>
        <w:pStyle w:val="Akapitzlist"/>
        <w:numPr>
          <w:ilvl w:val="1"/>
          <w:numId w:val="36"/>
        </w:numPr>
        <w:tabs>
          <w:tab w:val="left" w:pos="993"/>
        </w:tabs>
        <w:spacing w:after="240"/>
        <w:jc w:val="both"/>
        <w:rPr>
          <w:rFonts w:ascii="Cambria" w:hAnsi="Cambria" w:cs="Arial"/>
          <w:sz w:val="20"/>
          <w:szCs w:val="20"/>
        </w:rPr>
      </w:pPr>
      <w:r w:rsidRPr="009E1BD9">
        <w:rPr>
          <w:rFonts w:ascii="Cambria" w:hAnsi="Cambria" w:cs="Arial"/>
          <w:sz w:val="20"/>
          <w:szCs w:val="20"/>
        </w:rPr>
        <w:t>Oświadczenie dotyczące RODO- wzór zawarty jest w załączniku  nr 2 do SWZ.</w:t>
      </w:r>
    </w:p>
    <w:p w:rsidR="000C6E69" w:rsidRDefault="009E1BD9" w:rsidP="009E1BD9">
      <w:pPr>
        <w:spacing w:after="240" w:line="276" w:lineRule="auto"/>
        <w:ind w:left="851" w:hanging="425"/>
        <w:jc w:val="both"/>
        <w:rPr>
          <w:rFonts w:ascii="Cambria" w:hAnsi="Cambria" w:cs="Arial"/>
          <w:sz w:val="20"/>
          <w:szCs w:val="20"/>
        </w:rPr>
      </w:pPr>
      <w:r>
        <w:rPr>
          <w:rFonts w:ascii="Cambria" w:hAnsi="Cambria" w:cs="Arial"/>
          <w:sz w:val="20"/>
          <w:szCs w:val="20"/>
        </w:rPr>
        <w:t>1.11</w:t>
      </w:r>
      <w:r w:rsidR="000C6E69">
        <w:rPr>
          <w:rFonts w:ascii="Cambria" w:hAnsi="Cambria" w:cs="Arial"/>
          <w:sz w:val="20"/>
          <w:szCs w:val="20"/>
        </w:rPr>
        <w:t>.</w:t>
      </w:r>
      <w:r w:rsidR="000C6E69"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Default="009E1BD9" w:rsidP="009E1BD9">
      <w:pPr>
        <w:spacing w:after="240" w:line="276" w:lineRule="auto"/>
        <w:ind w:left="851" w:hanging="851"/>
        <w:jc w:val="both"/>
        <w:rPr>
          <w:rFonts w:ascii="Cambria" w:hAnsi="Cambria" w:cs="Arial"/>
          <w:sz w:val="20"/>
          <w:szCs w:val="20"/>
        </w:rPr>
      </w:pPr>
      <w:r>
        <w:rPr>
          <w:rFonts w:ascii="Cambria" w:hAnsi="Cambria" w:cs="Arial"/>
          <w:sz w:val="20"/>
          <w:szCs w:val="20"/>
        </w:rPr>
        <w:t xml:space="preserve">          1.2</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6C1FA5" w:rsidRDefault="006C1FA5" w:rsidP="006C1FA5">
      <w:pPr>
        <w:spacing w:after="240" w:line="276" w:lineRule="auto"/>
        <w:ind w:left="284" w:hanging="284"/>
        <w:jc w:val="both"/>
        <w:rPr>
          <w:rFonts w:ascii="Cambria" w:hAnsi="Cambria" w:cs="Arial"/>
          <w:b/>
          <w:sz w:val="20"/>
          <w:szCs w:val="20"/>
          <w:u w:val="single"/>
        </w:rPr>
      </w:pPr>
      <w:r w:rsidRPr="00DE6D25">
        <w:rPr>
          <w:rFonts w:ascii="Cambria" w:hAnsi="Cambria" w:cs="Arial"/>
          <w:sz w:val="20"/>
          <w:szCs w:val="20"/>
        </w:rPr>
        <w:t xml:space="preserve">2. </w:t>
      </w:r>
      <w:r>
        <w:rPr>
          <w:rFonts w:ascii="Cambria" w:hAnsi="Cambria" w:cs="Arial"/>
          <w:sz w:val="20"/>
          <w:szCs w:val="20"/>
          <w:u w:val="single"/>
        </w:rPr>
        <w:t>Podmiotowe środki dowodowe</w:t>
      </w:r>
      <w:r w:rsidRPr="00DE6D25">
        <w:rPr>
          <w:rFonts w:ascii="Cambria" w:hAnsi="Cambria" w:cs="Arial"/>
          <w:sz w:val="20"/>
          <w:szCs w:val="20"/>
          <w:u w:val="single"/>
        </w:rPr>
        <w:t>, które Wykona</w:t>
      </w:r>
      <w:r>
        <w:rPr>
          <w:rFonts w:ascii="Cambria" w:hAnsi="Cambria" w:cs="Arial"/>
          <w:sz w:val="20"/>
          <w:szCs w:val="20"/>
          <w:u w:val="single"/>
        </w:rPr>
        <w:t xml:space="preserve">wca zobowiązany jest </w:t>
      </w:r>
      <w:r w:rsidRPr="00ED0E87">
        <w:rPr>
          <w:rFonts w:ascii="Cambria" w:hAnsi="Cambria" w:cs="Arial"/>
          <w:sz w:val="20"/>
          <w:szCs w:val="20"/>
        </w:rPr>
        <w:t xml:space="preserve">dostarczyć w wyznaczonym </w:t>
      </w:r>
      <w:r>
        <w:rPr>
          <w:rFonts w:ascii="Cambria" w:hAnsi="Cambria" w:cs="Arial"/>
          <w:sz w:val="20"/>
          <w:szCs w:val="20"/>
        </w:rPr>
        <w:t xml:space="preserve">przez zamawiającego </w:t>
      </w:r>
      <w:r w:rsidRPr="00ED0E87">
        <w:rPr>
          <w:rFonts w:ascii="Cambria" w:hAnsi="Cambria" w:cs="Arial"/>
          <w:sz w:val="20"/>
          <w:szCs w:val="20"/>
        </w:rPr>
        <w:t>terminie</w:t>
      </w:r>
      <w:r>
        <w:rPr>
          <w:rFonts w:ascii="Cambria" w:hAnsi="Cambria" w:cs="Arial"/>
          <w:sz w:val="20"/>
          <w:szCs w:val="20"/>
        </w:rPr>
        <w:t xml:space="preserve">. </w:t>
      </w:r>
    </w:p>
    <w:p w:rsidR="006C1FA5" w:rsidRDefault="006C1FA5" w:rsidP="006C1FA5">
      <w:pPr>
        <w:spacing w:after="240" w:line="276" w:lineRule="auto"/>
        <w:ind w:left="426"/>
        <w:jc w:val="both"/>
        <w:rPr>
          <w:rFonts w:ascii="Cambria" w:hAnsi="Cambria" w:cs="Arial"/>
          <w:sz w:val="20"/>
          <w:szCs w:val="20"/>
        </w:rPr>
      </w:pPr>
      <w:r>
        <w:rPr>
          <w:rFonts w:ascii="Cambria" w:hAnsi="Cambria" w:cs="Arial"/>
          <w:sz w:val="20"/>
          <w:szCs w:val="20"/>
        </w:rPr>
        <w:t>2.1.</w:t>
      </w:r>
      <w:r w:rsidRPr="006E0230">
        <w:rPr>
          <w:rFonts w:ascii="Cambria" w:hAnsi="Cambria" w:cs="Arial"/>
          <w:b/>
        </w:rPr>
        <w:t xml:space="preserve"> </w:t>
      </w:r>
      <w:r w:rsidRPr="00197E3D">
        <w:rPr>
          <w:rFonts w:ascii="Cambria" w:hAnsi="Cambria" w:cs="Arial"/>
          <w:sz w:val="20"/>
          <w:szCs w:val="20"/>
        </w:rPr>
        <w:t>Odpis lub informacja z Krajowego Rejestru Sądowego lub z Centralnej Ewidencji i Informacji o</w:t>
      </w:r>
      <w:r>
        <w:rPr>
          <w:rFonts w:ascii="Cambria" w:hAnsi="Cambria" w:cs="Arial"/>
          <w:sz w:val="20"/>
          <w:szCs w:val="20"/>
        </w:rPr>
        <w:t> </w:t>
      </w:r>
      <w:r w:rsidRPr="00197E3D">
        <w:rPr>
          <w:rFonts w:ascii="Cambria" w:hAnsi="Cambria" w:cs="Arial"/>
          <w:sz w:val="20"/>
          <w:szCs w:val="20"/>
        </w:rPr>
        <w:t>Działalności Gospodarczej, w zakresie art. 109 ust. 1 pkt 4 ustawy, sporządzonych nie wcześniej niż 3 miesiące przed jej złożeniem, jeżeli odrębne przepisy wymagają wpisu do rejestru lub ewidencji.</w:t>
      </w:r>
    </w:p>
    <w:p w:rsidR="006C1FA5" w:rsidRDefault="006C1FA5" w:rsidP="006C1FA5">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E87079">
        <w:rPr>
          <w:rFonts w:ascii="Cambria" w:hAnsi="Cambria" w:cs="Arial"/>
          <w:sz w:val="20"/>
          <w:szCs w:val="20"/>
        </w:rPr>
        <w:t xml:space="preserve"> </w:t>
      </w:r>
      <w:r>
        <w:rPr>
          <w:rFonts w:ascii="Cambria" w:hAnsi="Cambria" w:cs="Arial"/>
          <w:sz w:val="20"/>
          <w:szCs w:val="20"/>
        </w:rPr>
        <w:t xml:space="preserve">    2.2. Koncesja na prowadzenie hurtowni farmaceutycznej – dotyczy tych zadań gdzie występują preparaty o statusie produktu leczniczego.   </w:t>
      </w:r>
    </w:p>
    <w:p w:rsidR="006C1FA5" w:rsidRDefault="006C1FA5" w:rsidP="006C1FA5">
      <w:pPr>
        <w:spacing w:after="240" w:line="276" w:lineRule="auto"/>
        <w:ind w:left="426"/>
        <w:jc w:val="both"/>
        <w:rPr>
          <w:rFonts w:ascii="Cambria" w:hAnsi="Cambria" w:cs="Arial"/>
          <w:sz w:val="20"/>
          <w:szCs w:val="20"/>
        </w:rPr>
      </w:pPr>
      <w:r w:rsidRPr="00DA0B8F">
        <w:rPr>
          <w:rFonts w:ascii="Cambria" w:hAnsi="Cambria" w:cs="Arial"/>
          <w:sz w:val="20"/>
          <w:szCs w:val="20"/>
        </w:rPr>
        <w:t>Jeżeli Wykonawca ma siedzibę lub miejsce zamieszkania poza terytorium Rzeczypospoli</w:t>
      </w:r>
      <w:r>
        <w:rPr>
          <w:rFonts w:ascii="Cambria" w:hAnsi="Cambria" w:cs="Arial"/>
          <w:sz w:val="20"/>
          <w:szCs w:val="20"/>
        </w:rPr>
        <w:t>tej Polskiej, zamiast dokumentów, o których mowa w ppkt 2.1</w:t>
      </w:r>
      <w:r w:rsidRPr="00DA0B8F">
        <w:rPr>
          <w:rFonts w:ascii="Cambria" w:hAnsi="Cambria" w:cs="Arial"/>
          <w:sz w:val="20"/>
          <w:szCs w:val="20"/>
        </w:rPr>
        <w:t xml:space="preserve"> składa informację z odpowiedniego rejestru, takiego jak rejestr sądowy, albo w przypadku braku takiego rejestru, inny równorzędny dokument wydany przez właściwy organ sądowy lub administracyjny kraju, w którym wykonawca ma siedzibę lub miejsce zamieszkania. </w:t>
      </w:r>
      <w:r>
        <w:rPr>
          <w:rFonts w:ascii="Cambria" w:hAnsi="Cambria" w:cs="Arial"/>
          <w:sz w:val="20"/>
          <w:szCs w:val="20"/>
        </w:rPr>
        <w:t xml:space="preserve"> </w:t>
      </w:r>
    </w:p>
    <w:p w:rsidR="000C6E69" w:rsidRPr="001E098A" w:rsidRDefault="006C1FA5"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F6BFA">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F6BFA">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F6BFA">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F6BFA">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F6BFA">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F6BFA">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F6BFA">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BF6BFA">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F6BFA">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BF6BFA">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F6BFA">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F6BFA">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F6BFA">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F6BFA">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BF6BFA">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BF6BFA">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F6BFA">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F6BFA">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F6BFA">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F6BFA">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F6BFA">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F6BFA">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F6BFA">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E87079" w:rsidRDefault="00B5144E" w:rsidP="00BF6BFA">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E87079" w:rsidRPr="009E1BD9" w:rsidRDefault="00E87079" w:rsidP="00E87079">
      <w:pPr>
        <w:widowControl w:val="0"/>
        <w:tabs>
          <w:tab w:val="left" w:pos="426"/>
        </w:tabs>
        <w:spacing w:after="60" w:line="276" w:lineRule="auto"/>
        <w:ind w:left="426" w:right="20"/>
        <w:jc w:val="both"/>
        <w:rPr>
          <w:rFonts w:ascii="Cambria" w:eastAsia="Trebuchet MS" w:hAnsi="Cambria" w:cs="Trebuchet MS"/>
          <w:sz w:val="20"/>
          <w:szCs w:val="20"/>
          <w:lang w:bidi="pl-PL"/>
        </w:rPr>
      </w:pP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hyperlink r:id="rId10" w:history="1">
        <w:r w:rsidR="00E87079" w:rsidRPr="00E72BD4">
          <w:rPr>
            <w:rStyle w:val="Hipercze"/>
            <w:rFonts w:ascii="Cambria" w:hAnsi="Cambria" w:cs="Tahoma"/>
            <w:sz w:val="20"/>
            <w:szCs w:val="20"/>
          </w:rPr>
          <w:t>danuta.niewiadomska@szpital-brzozow.pl</w:t>
        </w:r>
      </w:hyperlink>
    </w:p>
    <w:p w:rsidR="00E87079" w:rsidRPr="007D6960" w:rsidRDefault="00E87079" w:rsidP="00664C29">
      <w:pPr>
        <w:spacing w:line="276" w:lineRule="auto"/>
        <w:ind w:left="567" w:hanging="285"/>
        <w:rPr>
          <w:rFonts w:ascii="Cambria" w:hAnsi="Cambria" w:cs="Tahoma"/>
          <w:sz w:val="20"/>
          <w:szCs w:val="20"/>
        </w:rPr>
      </w:pP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9E1BD9">
        <w:rPr>
          <w:rFonts w:ascii="Cambria" w:hAnsi="Cambria" w:cs="Arial"/>
          <w:b w:val="0"/>
          <w:bCs w:val="0"/>
          <w:sz w:val="20"/>
          <w:szCs w:val="20"/>
          <w:lang w:val="pl-PL"/>
        </w:rPr>
        <w:t>18.10</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BF6BFA">
      <w:pPr>
        <w:numPr>
          <w:ilvl w:val="0"/>
          <w:numId w:val="25"/>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BF6BFA">
      <w:pPr>
        <w:pStyle w:val="pkt"/>
        <w:numPr>
          <w:ilvl w:val="0"/>
          <w:numId w:val="25"/>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BF6BFA">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F6BFA">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BF6BFA">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F6BFA">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BF6BFA">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9E1BD9">
        <w:rPr>
          <w:rFonts w:ascii="Cambria" w:hAnsi="Cambria" w:cs="Arial"/>
          <w:sz w:val="20"/>
          <w:szCs w:val="20"/>
          <w:lang w:bidi="pl-PL"/>
        </w:rPr>
        <w:t>ę na dzień: 19.09</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BF6BFA">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9E1BD9">
        <w:rPr>
          <w:rFonts w:ascii="Cambria" w:hAnsi="Cambria" w:cs="Arial"/>
          <w:sz w:val="20"/>
          <w:szCs w:val="20"/>
          <w:lang w:bidi="pl-PL"/>
        </w:rPr>
        <w:t>u 19.09</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BF6BFA">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F6BFA">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F6BFA">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BF6BFA">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BF6BFA">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F6BFA">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BF6BFA">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BF6BFA">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BF6BFA">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BF6BFA">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BF6BFA">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BF6BFA">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BF6BFA">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BF6BFA">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F6BFA">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BF6BFA">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BF6BFA">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BF6BFA">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F6BFA">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F6BFA">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BF6BFA">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BF6BFA">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51634" w:rsidRPr="007D6960" w:rsidRDefault="00F51634" w:rsidP="00F51634">
      <w:pPr>
        <w:spacing w:line="276" w:lineRule="auto"/>
        <w:ind w:left="284"/>
        <w:jc w:val="both"/>
        <w:rPr>
          <w:rFonts w:ascii="Cambria" w:eastAsia="Batang" w:hAnsi="Cambria" w:cs="Arial"/>
          <w:sz w:val="20"/>
          <w:szCs w:val="20"/>
          <w:lang w:val="x-none" w:eastAsia="x-none" w:bidi="pl-PL"/>
        </w:rPr>
      </w:pPr>
    </w:p>
    <w:p w:rsidR="00FA6076" w:rsidRPr="00AC60F9" w:rsidRDefault="00B72BCC" w:rsidP="00BF6BFA">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Zamawiający określ</w:t>
      </w:r>
      <w:r w:rsidR="00AE44C6">
        <w:rPr>
          <w:rFonts w:ascii="Cambria" w:hAnsi="Cambria" w:cs="Arial"/>
          <w:sz w:val="20"/>
          <w:szCs w:val="20"/>
        </w:rPr>
        <w:t xml:space="preserve">a maksymalny termin dostawy na 48 godzin  </w:t>
      </w:r>
      <w:r w:rsidRPr="00150791">
        <w:rPr>
          <w:rFonts w:ascii="Cambria" w:hAnsi="Cambria" w:cs="Arial"/>
          <w:sz w:val="20"/>
          <w:szCs w:val="20"/>
        </w:rPr>
        <w:t xml:space="preserve">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w:t>
      </w:r>
      <w:r w:rsidR="00AE44C6">
        <w:rPr>
          <w:rFonts w:ascii="Cambria" w:hAnsi="Cambria" w:cs="Arial"/>
          <w:sz w:val="20"/>
          <w:szCs w:val="20"/>
        </w:rPr>
        <w:t xml:space="preserve">gdy wykonawca zaoferuje 48-godzinny termin dostawy otrzyma </w:t>
      </w:r>
      <w:r w:rsidRPr="00150791">
        <w:rPr>
          <w:rFonts w:ascii="Cambria" w:hAnsi="Cambria" w:cs="Arial"/>
          <w:sz w:val="20"/>
          <w:szCs w:val="20"/>
        </w:rPr>
        <w:t>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zaoferuje </w:t>
      </w:r>
      <w:r w:rsidR="00AE44C6">
        <w:rPr>
          <w:rFonts w:ascii="Cambria" w:hAnsi="Cambria" w:cs="Arial"/>
          <w:sz w:val="20"/>
          <w:szCs w:val="20"/>
        </w:rPr>
        <w:t>termin dostawy krótszy niż 48 godzin (np. 30 godzin</w:t>
      </w:r>
      <w:r w:rsidRPr="00150791">
        <w:rPr>
          <w:rFonts w:ascii="Cambria" w:hAnsi="Cambria" w:cs="Arial"/>
          <w:sz w:val="20"/>
          <w:szCs w:val="20"/>
        </w:rPr>
        <w:t>),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w:t>
      </w:r>
      <w:r w:rsidR="00AE44C6">
        <w:rPr>
          <w:rFonts w:ascii="Cambria" w:hAnsi="Cambria" w:cs="Arial"/>
          <w:sz w:val="20"/>
          <w:szCs w:val="20"/>
        </w:rPr>
        <w:t>in dostawy z dokładnością do pełnych godzin (np. 30 godzin</w:t>
      </w:r>
      <w:r w:rsidRPr="00150791">
        <w:rPr>
          <w:rFonts w:ascii="Cambria" w:hAnsi="Cambria" w:cs="Arial"/>
          <w:sz w:val="20"/>
          <w:szCs w:val="20"/>
        </w:rPr>
        <w:t>,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w:t>
      </w:r>
      <w:r w:rsidR="00AE44C6">
        <w:rPr>
          <w:rFonts w:ascii="Cambria" w:hAnsi="Cambria" w:cs="Arial"/>
          <w:sz w:val="20"/>
          <w:szCs w:val="20"/>
        </w:rPr>
        <w:t>dla tej oferty wynoszący 48 godzin.</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F6BFA">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F6BFA">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F6BFA">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F6BFA">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F6BFA">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F6BFA">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F6BFA">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F6BFA">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BF6BFA">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F6BFA">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F6BFA">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BF6BFA">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F6BFA">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F6BFA">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F6BFA">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F6BFA">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F6BFA">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F6BFA">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F6BFA">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F6BFA">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F6BFA">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F6BFA">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BF6BFA">
      <w:pPr>
        <w:pStyle w:val="Tekstpodstawowy"/>
        <w:numPr>
          <w:ilvl w:val="0"/>
          <w:numId w:val="31"/>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1"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BF6BFA">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BF6BFA">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BF6BFA">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BF6BFA">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BF6BFA">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BF6BFA">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BF6BFA">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BF6BFA">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BF6BFA">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BF6BFA">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BF6BFA">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BF6BFA">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BF6BFA">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p>
    <w:p w:rsidR="00206EC2" w:rsidRPr="009659F8" w:rsidRDefault="00206EC2" w:rsidP="00206EC2">
      <w:pPr>
        <w:tabs>
          <w:tab w:val="left" w:pos="9072"/>
        </w:tabs>
        <w:spacing w:line="480" w:lineRule="auto"/>
        <w:jc w:val="both"/>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Załącznik nr </w:t>
      </w:r>
      <w:r w:rsidR="0086080E" w:rsidRPr="009659F8">
        <w:rPr>
          <w:rFonts w:ascii="Cambria" w:hAnsi="Cambria" w:cs="Arial"/>
          <w:b/>
          <w:sz w:val="20"/>
          <w:szCs w:val="20"/>
        </w:rPr>
        <w:t>1</w:t>
      </w:r>
      <w:r w:rsidRPr="009659F8">
        <w:rPr>
          <w:rFonts w:ascii="Cambria" w:hAnsi="Cambria" w:cs="Arial"/>
          <w:b/>
          <w:sz w:val="20"/>
          <w:szCs w:val="20"/>
        </w:rPr>
        <w:t xml:space="preserve"> do SWZ</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P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9519DD" w:rsidRPr="009519DD" w:rsidRDefault="009519DD" w:rsidP="009519DD">
      <w:pPr>
        <w:tabs>
          <w:tab w:val="left" w:pos="9072"/>
        </w:tabs>
        <w:spacing w:line="480" w:lineRule="auto"/>
        <w:jc w:val="both"/>
        <w:rPr>
          <w:rFonts w:ascii="Cambria" w:hAnsi="Cambria" w:cs="Arial"/>
          <w:b/>
          <w:bCs/>
          <w:sz w:val="20"/>
          <w:szCs w:val="20"/>
          <w:u w:val="single"/>
        </w:rPr>
      </w:pPr>
      <w:r w:rsidRPr="009519DD">
        <w:rPr>
          <w:rFonts w:ascii="Cambria" w:hAnsi="Cambria" w:cs="Arial"/>
          <w:b/>
          <w:bCs/>
          <w:sz w:val="20"/>
          <w:szCs w:val="20"/>
        </w:rPr>
        <w:t xml:space="preserve">                                                                                                                                 </w:t>
      </w:r>
      <w:r w:rsidRPr="009519DD">
        <w:rPr>
          <w:rFonts w:ascii="Cambria" w:hAnsi="Cambria" w:cs="Arial"/>
          <w:b/>
          <w:bCs/>
          <w:sz w:val="20"/>
          <w:szCs w:val="20"/>
          <w:u w:val="single"/>
        </w:rPr>
        <w:t xml:space="preserve">O F E R T A </w:t>
      </w:r>
      <w:r w:rsidR="00AE44C6">
        <w:rPr>
          <w:rFonts w:ascii="Cambria" w:hAnsi="Cambria" w:cs="Arial"/>
          <w:b/>
          <w:bCs/>
          <w:sz w:val="20"/>
          <w:szCs w:val="20"/>
          <w:u w:val="single"/>
        </w:rPr>
        <w:t>–zadanie 1</w:t>
      </w:r>
    </w:p>
    <w:p w:rsidR="006B6E42" w:rsidRDefault="006B6E42" w:rsidP="009519DD">
      <w:pPr>
        <w:tabs>
          <w:tab w:val="left" w:pos="9072"/>
        </w:tabs>
        <w:spacing w:line="480" w:lineRule="auto"/>
        <w:jc w:val="both"/>
        <w:rPr>
          <w:rFonts w:ascii="Cambria" w:hAnsi="Cambria" w:cs="Arial"/>
          <w:bCs/>
          <w:sz w:val="20"/>
          <w:szCs w:val="20"/>
        </w:rPr>
      </w:pP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odpowiedzi na ogłoszenie dotyczące  udzielenia zamówienia public</w:t>
      </w:r>
      <w:r w:rsidR="009E1BD9">
        <w:rPr>
          <w:rFonts w:ascii="Cambria" w:hAnsi="Cambria" w:cs="Arial"/>
          <w:bCs/>
          <w:sz w:val="20"/>
          <w:szCs w:val="20"/>
        </w:rPr>
        <w:t xml:space="preserve">znego na dostawy środków dezynfekcyjnych </w:t>
      </w:r>
      <w:r w:rsidRPr="009519DD">
        <w:rPr>
          <w:rFonts w:ascii="Cambria" w:hAnsi="Cambria" w:cs="Arial"/>
          <w:bCs/>
          <w:sz w:val="20"/>
          <w:szCs w:val="20"/>
        </w:rPr>
        <w:t>dla Szpitala Specjalistycznego w Brzozowie Podkarpackiego Ośrodka Onkologicznego im. Ks. B. Markiewicza, z</w:t>
      </w:r>
      <w:r w:rsidR="00154723">
        <w:rPr>
          <w:rFonts w:ascii="Cambria" w:hAnsi="Cambria" w:cs="Arial"/>
          <w:bCs/>
          <w:sz w:val="20"/>
          <w:szCs w:val="20"/>
        </w:rPr>
        <w:t>n</w:t>
      </w:r>
      <w:r w:rsidR="009E1BD9">
        <w:rPr>
          <w:rFonts w:ascii="Cambria" w:hAnsi="Cambria" w:cs="Arial"/>
          <w:bCs/>
          <w:sz w:val="20"/>
          <w:szCs w:val="20"/>
        </w:rPr>
        <w:t>ak sprawy SZSPOO.SZPiGM. 3810/51</w:t>
      </w:r>
      <w:r w:rsidR="001E098A">
        <w:rPr>
          <w:rFonts w:ascii="Cambria" w:hAnsi="Cambria" w:cs="Arial"/>
          <w:bCs/>
          <w:sz w:val="20"/>
          <w:szCs w:val="20"/>
        </w:rPr>
        <w:t>/2022</w:t>
      </w:r>
      <w:r w:rsidRPr="009519DD">
        <w:rPr>
          <w:rFonts w:ascii="Cambria" w:hAnsi="Cambria" w:cs="Arial"/>
          <w:bCs/>
          <w:sz w:val="20"/>
          <w:szCs w:val="20"/>
        </w:rPr>
        <w:t>, przedstawiamy następującą ofertę:</w:t>
      </w:r>
    </w:p>
    <w:tbl>
      <w:tblPr>
        <w:tblW w:w="5000" w:type="pct"/>
        <w:tblLayout w:type="fixed"/>
        <w:tblCellMar>
          <w:left w:w="70" w:type="dxa"/>
          <w:right w:w="70" w:type="dxa"/>
        </w:tblCellMar>
        <w:tblLook w:val="04A0" w:firstRow="1" w:lastRow="0" w:firstColumn="1" w:lastColumn="0" w:noHBand="0" w:noVBand="1"/>
      </w:tblPr>
      <w:tblGrid>
        <w:gridCol w:w="4369"/>
        <w:gridCol w:w="1227"/>
        <w:gridCol w:w="943"/>
        <w:gridCol w:w="763"/>
        <w:gridCol w:w="1477"/>
        <w:gridCol w:w="740"/>
        <w:gridCol w:w="786"/>
        <w:gridCol w:w="1577"/>
        <w:gridCol w:w="886"/>
        <w:gridCol w:w="1517"/>
      </w:tblGrid>
      <w:tr w:rsidR="009E1BD9" w:rsidRPr="00416E35" w:rsidTr="005C0120">
        <w:trPr>
          <w:trHeight w:val="375"/>
        </w:trPr>
        <w:tc>
          <w:tcPr>
            <w:tcW w:w="1483" w:type="pct"/>
            <w:tcBorders>
              <w:top w:val="nil"/>
              <w:left w:val="nil"/>
              <w:bottom w:val="nil"/>
              <w:right w:val="nil"/>
            </w:tcBorders>
            <w:shd w:val="clear" w:color="auto" w:fill="auto"/>
            <w:vAlign w:val="bottom"/>
            <w:hideMark/>
          </w:tcPr>
          <w:p w:rsidR="009E1BD9" w:rsidRPr="00416E35" w:rsidRDefault="009E1BD9" w:rsidP="005C0120">
            <w:pPr>
              <w:rPr>
                <w:rFonts w:cs="Calibri"/>
                <w:b/>
                <w:bCs/>
                <w:sz w:val="20"/>
                <w:szCs w:val="20"/>
              </w:rPr>
            </w:pPr>
            <w:r w:rsidRPr="00416E35">
              <w:rPr>
                <w:rFonts w:cs="Calibri"/>
                <w:b/>
                <w:bCs/>
                <w:sz w:val="20"/>
                <w:szCs w:val="20"/>
              </w:rPr>
              <w:t xml:space="preserve">Zadanie  nr 1 </w:t>
            </w:r>
          </w:p>
        </w:tc>
        <w:tc>
          <w:tcPr>
            <w:tcW w:w="416" w:type="pct"/>
            <w:tcBorders>
              <w:top w:val="nil"/>
              <w:left w:val="nil"/>
              <w:bottom w:val="nil"/>
              <w:right w:val="nil"/>
            </w:tcBorders>
            <w:shd w:val="clear" w:color="auto" w:fill="auto"/>
            <w:noWrap/>
            <w:vAlign w:val="center"/>
            <w:hideMark/>
          </w:tcPr>
          <w:p w:rsidR="009E1BD9" w:rsidRPr="00416E35" w:rsidRDefault="009E1BD9" w:rsidP="005C0120">
            <w:pPr>
              <w:rPr>
                <w:rFonts w:cs="Calibri"/>
                <w:b/>
                <w:bCs/>
                <w:sz w:val="20"/>
                <w:szCs w:val="20"/>
              </w:rPr>
            </w:pPr>
          </w:p>
        </w:tc>
        <w:tc>
          <w:tcPr>
            <w:tcW w:w="320" w:type="pct"/>
            <w:tcBorders>
              <w:top w:val="nil"/>
              <w:left w:val="nil"/>
              <w:bottom w:val="nil"/>
              <w:right w:val="nil"/>
            </w:tcBorders>
            <w:shd w:val="clear" w:color="auto" w:fill="auto"/>
            <w:noWrap/>
            <w:vAlign w:val="bottom"/>
            <w:hideMark/>
          </w:tcPr>
          <w:p w:rsidR="009E1BD9" w:rsidRPr="00416E35" w:rsidRDefault="009E1BD9" w:rsidP="005C0120">
            <w:pPr>
              <w:jc w:val="center"/>
              <w:rPr>
                <w:rFonts w:cs="Calibri"/>
                <w:sz w:val="20"/>
                <w:szCs w:val="20"/>
              </w:rPr>
            </w:pPr>
          </w:p>
        </w:tc>
        <w:tc>
          <w:tcPr>
            <w:tcW w:w="259" w:type="pct"/>
            <w:tcBorders>
              <w:top w:val="nil"/>
              <w:left w:val="nil"/>
              <w:bottom w:val="nil"/>
              <w:right w:val="nil"/>
            </w:tcBorders>
            <w:shd w:val="clear" w:color="auto" w:fill="auto"/>
            <w:noWrap/>
            <w:vAlign w:val="center"/>
            <w:hideMark/>
          </w:tcPr>
          <w:p w:rsidR="009E1BD9" w:rsidRPr="00416E35" w:rsidRDefault="009E1BD9" w:rsidP="005C0120">
            <w:pPr>
              <w:rPr>
                <w:rFonts w:cs="Calibri"/>
                <w:sz w:val="20"/>
                <w:szCs w:val="20"/>
              </w:rPr>
            </w:pPr>
          </w:p>
        </w:tc>
        <w:tc>
          <w:tcPr>
            <w:tcW w:w="501" w:type="pct"/>
            <w:tcBorders>
              <w:top w:val="nil"/>
              <w:left w:val="nil"/>
              <w:bottom w:val="nil"/>
              <w:right w:val="nil"/>
            </w:tcBorders>
            <w:shd w:val="clear" w:color="auto" w:fill="auto"/>
            <w:noWrap/>
            <w:vAlign w:val="bottom"/>
            <w:hideMark/>
          </w:tcPr>
          <w:p w:rsidR="009E1BD9" w:rsidRPr="00416E35" w:rsidRDefault="009E1BD9" w:rsidP="005C0120">
            <w:pPr>
              <w:jc w:val="center"/>
              <w:rPr>
                <w:rFonts w:cs="Calibri"/>
                <w:sz w:val="20"/>
                <w:szCs w:val="20"/>
              </w:rPr>
            </w:pPr>
          </w:p>
        </w:tc>
        <w:tc>
          <w:tcPr>
            <w:tcW w:w="251"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267"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535"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301"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515"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r>
      <w:tr w:rsidR="009E1BD9" w:rsidRPr="00416E35" w:rsidTr="005C0120">
        <w:trPr>
          <w:trHeight w:val="255"/>
        </w:trPr>
        <w:tc>
          <w:tcPr>
            <w:tcW w:w="1483" w:type="pct"/>
            <w:tcBorders>
              <w:top w:val="nil"/>
              <w:left w:val="nil"/>
              <w:bottom w:val="nil"/>
              <w:right w:val="nil"/>
            </w:tcBorders>
            <w:shd w:val="clear" w:color="auto" w:fill="auto"/>
            <w:vAlign w:val="bottom"/>
            <w:hideMark/>
          </w:tcPr>
          <w:p w:rsidR="009E1BD9" w:rsidRPr="00416E35" w:rsidRDefault="009E1BD9" w:rsidP="005C0120">
            <w:pPr>
              <w:jc w:val="center"/>
              <w:rPr>
                <w:rFonts w:cs="Calibri"/>
                <w:sz w:val="20"/>
                <w:szCs w:val="20"/>
              </w:rPr>
            </w:pPr>
          </w:p>
        </w:tc>
        <w:tc>
          <w:tcPr>
            <w:tcW w:w="416" w:type="pct"/>
            <w:tcBorders>
              <w:top w:val="nil"/>
              <w:left w:val="nil"/>
              <w:bottom w:val="nil"/>
              <w:right w:val="nil"/>
            </w:tcBorders>
            <w:shd w:val="clear" w:color="auto" w:fill="auto"/>
            <w:noWrap/>
            <w:vAlign w:val="center"/>
            <w:hideMark/>
          </w:tcPr>
          <w:p w:rsidR="009E1BD9" w:rsidRPr="00416E35" w:rsidRDefault="009E1BD9" w:rsidP="005C0120">
            <w:pPr>
              <w:rPr>
                <w:rFonts w:cs="Calibri"/>
                <w:sz w:val="20"/>
                <w:szCs w:val="20"/>
              </w:rPr>
            </w:pPr>
          </w:p>
        </w:tc>
        <w:tc>
          <w:tcPr>
            <w:tcW w:w="320" w:type="pct"/>
            <w:tcBorders>
              <w:top w:val="nil"/>
              <w:left w:val="nil"/>
              <w:bottom w:val="nil"/>
              <w:right w:val="nil"/>
            </w:tcBorders>
            <w:shd w:val="clear" w:color="auto" w:fill="auto"/>
            <w:noWrap/>
            <w:vAlign w:val="bottom"/>
            <w:hideMark/>
          </w:tcPr>
          <w:p w:rsidR="009E1BD9" w:rsidRPr="00416E35" w:rsidRDefault="009E1BD9" w:rsidP="005C0120">
            <w:pPr>
              <w:jc w:val="center"/>
              <w:rPr>
                <w:rFonts w:cs="Calibri"/>
                <w:sz w:val="20"/>
                <w:szCs w:val="20"/>
              </w:rPr>
            </w:pPr>
          </w:p>
        </w:tc>
        <w:tc>
          <w:tcPr>
            <w:tcW w:w="259" w:type="pct"/>
            <w:tcBorders>
              <w:top w:val="nil"/>
              <w:left w:val="nil"/>
              <w:bottom w:val="nil"/>
              <w:right w:val="nil"/>
            </w:tcBorders>
            <w:shd w:val="clear" w:color="auto" w:fill="auto"/>
            <w:noWrap/>
            <w:vAlign w:val="center"/>
            <w:hideMark/>
          </w:tcPr>
          <w:p w:rsidR="009E1BD9" w:rsidRPr="00416E35" w:rsidRDefault="009E1BD9" w:rsidP="005C0120">
            <w:pPr>
              <w:rPr>
                <w:rFonts w:cs="Calibri"/>
                <w:sz w:val="20"/>
                <w:szCs w:val="20"/>
              </w:rPr>
            </w:pPr>
          </w:p>
        </w:tc>
        <w:tc>
          <w:tcPr>
            <w:tcW w:w="501" w:type="pct"/>
            <w:tcBorders>
              <w:top w:val="nil"/>
              <w:left w:val="nil"/>
              <w:bottom w:val="nil"/>
              <w:right w:val="nil"/>
            </w:tcBorders>
            <w:shd w:val="clear" w:color="auto" w:fill="auto"/>
            <w:noWrap/>
            <w:vAlign w:val="bottom"/>
            <w:hideMark/>
          </w:tcPr>
          <w:p w:rsidR="009E1BD9" w:rsidRPr="00416E35" w:rsidRDefault="009E1BD9" w:rsidP="005C0120">
            <w:pPr>
              <w:jc w:val="center"/>
              <w:rPr>
                <w:rFonts w:cs="Calibri"/>
                <w:sz w:val="20"/>
                <w:szCs w:val="20"/>
              </w:rPr>
            </w:pPr>
          </w:p>
        </w:tc>
        <w:tc>
          <w:tcPr>
            <w:tcW w:w="251"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267"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535"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301"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c>
          <w:tcPr>
            <w:tcW w:w="515" w:type="pct"/>
            <w:tcBorders>
              <w:top w:val="nil"/>
              <w:left w:val="nil"/>
              <w:bottom w:val="nil"/>
              <w:right w:val="nil"/>
            </w:tcBorders>
            <w:shd w:val="clear" w:color="auto" w:fill="auto"/>
            <w:noWrap/>
            <w:vAlign w:val="bottom"/>
            <w:hideMark/>
          </w:tcPr>
          <w:p w:rsidR="009E1BD9" w:rsidRPr="00416E35" w:rsidRDefault="009E1BD9" w:rsidP="005C0120">
            <w:pPr>
              <w:rPr>
                <w:rFonts w:cs="Calibri"/>
                <w:sz w:val="20"/>
                <w:szCs w:val="20"/>
              </w:rPr>
            </w:pPr>
          </w:p>
        </w:tc>
      </w:tr>
      <w:tr w:rsidR="009E1BD9" w:rsidRPr="00416E35" w:rsidTr="005C0120">
        <w:trPr>
          <w:trHeight w:val="1260"/>
        </w:trPr>
        <w:tc>
          <w:tcPr>
            <w:tcW w:w="1483"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b/>
                <w:bCs/>
                <w:sz w:val="20"/>
                <w:szCs w:val="20"/>
              </w:rPr>
            </w:pPr>
            <w:r w:rsidRPr="00416E35">
              <w:rPr>
                <w:rFonts w:cs="Calibri"/>
                <w:b/>
                <w:bCs/>
                <w:sz w:val="20"/>
                <w:szCs w:val="20"/>
              </w:rPr>
              <w:t>Nazwa postać</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b/>
                <w:bCs/>
                <w:sz w:val="20"/>
                <w:szCs w:val="20"/>
              </w:rPr>
            </w:pPr>
            <w:r w:rsidRPr="00416E35">
              <w:rPr>
                <w:rFonts w:cs="Calibri"/>
                <w:b/>
                <w:bCs/>
                <w:sz w:val="20"/>
                <w:szCs w:val="20"/>
              </w:rPr>
              <w:t>j.m.</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Ilość</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C.j.netto</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b/>
                <w:bCs/>
                <w:sz w:val="20"/>
                <w:szCs w:val="20"/>
              </w:rPr>
            </w:pPr>
            <w:r w:rsidRPr="00416E35">
              <w:rPr>
                <w:rFonts w:cs="Calibri"/>
                <w:b/>
                <w:bCs/>
                <w:sz w:val="20"/>
                <w:szCs w:val="20"/>
              </w:rPr>
              <w:t xml:space="preserve">Wartość </w:t>
            </w:r>
            <w:r w:rsidRPr="00416E35">
              <w:rPr>
                <w:rFonts w:cs="Calibri"/>
                <w:b/>
                <w:bCs/>
                <w:sz w:val="20"/>
                <w:szCs w:val="20"/>
              </w:rPr>
              <w:br/>
              <w:t>netto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b/>
                <w:bCs/>
                <w:sz w:val="20"/>
                <w:szCs w:val="20"/>
              </w:rPr>
            </w:pPr>
            <w:r w:rsidRPr="00416E35">
              <w:rPr>
                <w:rFonts w:cs="Calibri"/>
                <w:b/>
                <w:bCs/>
                <w:sz w:val="20"/>
                <w:szCs w:val="20"/>
              </w:rPr>
              <w:t xml:space="preserve">Stawka </w:t>
            </w:r>
            <w:r w:rsidRPr="00416E35">
              <w:rPr>
                <w:rFonts w:cs="Calibri"/>
                <w:b/>
                <w:bCs/>
                <w:sz w:val="20"/>
                <w:szCs w:val="20"/>
              </w:rPr>
              <w:br/>
              <w:t xml:space="preserve">podatku </w:t>
            </w:r>
            <w:r w:rsidRPr="00416E35">
              <w:rPr>
                <w:rFonts w:cs="Calibri"/>
                <w:b/>
                <w:bCs/>
                <w:sz w:val="20"/>
                <w:szCs w:val="20"/>
              </w:rPr>
              <w:br/>
              <w:t>VAT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C.j. brutto</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b/>
                <w:bCs/>
                <w:sz w:val="20"/>
                <w:szCs w:val="20"/>
              </w:rPr>
            </w:pPr>
            <w:r w:rsidRPr="00416E35">
              <w:rPr>
                <w:rFonts w:cs="Calibri"/>
                <w:b/>
                <w:bCs/>
                <w:sz w:val="20"/>
                <w:szCs w:val="20"/>
              </w:rPr>
              <w:t xml:space="preserve">Wartość </w:t>
            </w:r>
            <w:r w:rsidRPr="00416E35">
              <w:rPr>
                <w:rFonts w:cs="Calibri"/>
                <w:b/>
                <w:bCs/>
                <w:sz w:val="20"/>
                <w:szCs w:val="20"/>
              </w:rPr>
              <w:br/>
              <w:t>brutto</w:t>
            </w:r>
            <w:r w:rsidRPr="00416E35">
              <w:rPr>
                <w:rFonts w:cs="Calibri"/>
                <w:b/>
                <w:bCs/>
                <w:sz w:val="20"/>
                <w:szCs w:val="20"/>
              </w:rPr>
              <w:br/>
              <w:t>(wartość netto + VAT)</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b/>
                <w:bCs/>
                <w:sz w:val="20"/>
                <w:szCs w:val="20"/>
              </w:rPr>
            </w:pPr>
            <w:r w:rsidRPr="00416E35">
              <w:rPr>
                <w:rFonts w:cs="Calibri"/>
                <w:b/>
                <w:bCs/>
                <w:sz w:val="20"/>
                <w:szCs w:val="20"/>
              </w:rPr>
              <w:t>Nazwa handlowa</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Producent , Kod EAN</w:t>
            </w:r>
          </w:p>
        </w:tc>
      </w:tr>
      <w:tr w:rsidR="009E1BD9" w:rsidRPr="00416E35" w:rsidTr="005C0120">
        <w:trPr>
          <w:trHeight w:val="315"/>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jc w:val="center"/>
              <w:rPr>
                <w:rFonts w:cs="Calibri"/>
                <w:b/>
                <w:bCs/>
                <w:sz w:val="20"/>
                <w:szCs w:val="20"/>
              </w:rPr>
            </w:pPr>
            <w:r w:rsidRPr="00416E35">
              <w:rPr>
                <w:rFonts w:cs="Calibri"/>
                <w:b/>
                <w:bCs/>
                <w:sz w:val="20"/>
                <w:szCs w:val="20"/>
              </w:rPr>
              <w:t>2</w:t>
            </w:r>
          </w:p>
        </w:tc>
        <w:tc>
          <w:tcPr>
            <w:tcW w:w="416" w:type="pct"/>
            <w:tcBorders>
              <w:top w:val="nil"/>
              <w:left w:val="nil"/>
              <w:bottom w:val="nil"/>
              <w:right w:val="single" w:sz="4" w:space="0" w:color="auto"/>
            </w:tcBorders>
            <w:shd w:val="clear" w:color="auto" w:fill="auto"/>
            <w:vAlign w:val="center"/>
            <w:hideMark/>
          </w:tcPr>
          <w:p w:rsidR="009E1BD9" w:rsidRPr="00416E35" w:rsidRDefault="009E1BD9" w:rsidP="005C0120">
            <w:pPr>
              <w:jc w:val="center"/>
              <w:rPr>
                <w:rFonts w:cs="Calibri"/>
                <w:b/>
                <w:bCs/>
                <w:sz w:val="20"/>
                <w:szCs w:val="20"/>
              </w:rPr>
            </w:pPr>
            <w:r w:rsidRPr="00416E35">
              <w:rPr>
                <w:rFonts w:cs="Calibri"/>
                <w:b/>
                <w:bCs/>
                <w:sz w:val="20"/>
                <w:szCs w:val="20"/>
              </w:rPr>
              <w:t>3</w:t>
            </w:r>
          </w:p>
        </w:tc>
        <w:tc>
          <w:tcPr>
            <w:tcW w:w="320" w:type="pct"/>
            <w:tcBorders>
              <w:top w:val="nil"/>
              <w:left w:val="nil"/>
              <w:bottom w:val="nil"/>
              <w:right w:val="single" w:sz="4" w:space="0" w:color="auto"/>
            </w:tcBorders>
            <w:shd w:val="clear" w:color="auto" w:fill="auto"/>
            <w:noWrap/>
            <w:vAlign w:val="bottom"/>
            <w:hideMark/>
          </w:tcPr>
          <w:p w:rsidR="009E1BD9" w:rsidRPr="00416E35" w:rsidRDefault="009E1BD9" w:rsidP="005C0120">
            <w:pPr>
              <w:jc w:val="center"/>
              <w:rPr>
                <w:rFonts w:cs="Calibri"/>
                <w:b/>
                <w:bCs/>
                <w:sz w:val="20"/>
                <w:szCs w:val="20"/>
              </w:rPr>
            </w:pPr>
            <w:r w:rsidRPr="00416E35">
              <w:rPr>
                <w:rFonts w:cs="Calibri"/>
                <w:b/>
                <w:bCs/>
                <w:sz w:val="20"/>
                <w:szCs w:val="20"/>
              </w:rPr>
              <w:t>4</w:t>
            </w:r>
          </w:p>
        </w:tc>
        <w:tc>
          <w:tcPr>
            <w:tcW w:w="259" w:type="pct"/>
            <w:tcBorders>
              <w:top w:val="nil"/>
              <w:left w:val="nil"/>
              <w:bottom w:val="nil"/>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5</w:t>
            </w:r>
          </w:p>
        </w:tc>
        <w:tc>
          <w:tcPr>
            <w:tcW w:w="501" w:type="pct"/>
            <w:tcBorders>
              <w:top w:val="nil"/>
              <w:left w:val="nil"/>
              <w:bottom w:val="nil"/>
              <w:right w:val="single" w:sz="4" w:space="0" w:color="auto"/>
            </w:tcBorders>
            <w:shd w:val="clear" w:color="auto" w:fill="auto"/>
            <w:noWrap/>
            <w:vAlign w:val="bottom"/>
            <w:hideMark/>
          </w:tcPr>
          <w:p w:rsidR="009E1BD9" w:rsidRPr="00416E35" w:rsidRDefault="009E1BD9" w:rsidP="005C0120">
            <w:pPr>
              <w:jc w:val="center"/>
              <w:rPr>
                <w:rFonts w:cs="Calibri"/>
                <w:b/>
                <w:bCs/>
                <w:sz w:val="20"/>
                <w:szCs w:val="20"/>
              </w:rPr>
            </w:pPr>
            <w:r w:rsidRPr="00416E35">
              <w:rPr>
                <w:rFonts w:cs="Calibri"/>
                <w:b/>
                <w:bCs/>
                <w:sz w:val="20"/>
                <w:szCs w:val="20"/>
              </w:rPr>
              <w:t>6</w:t>
            </w:r>
          </w:p>
        </w:tc>
        <w:tc>
          <w:tcPr>
            <w:tcW w:w="251" w:type="pct"/>
            <w:tcBorders>
              <w:top w:val="nil"/>
              <w:left w:val="nil"/>
              <w:bottom w:val="nil"/>
              <w:right w:val="single" w:sz="4" w:space="0" w:color="auto"/>
            </w:tcBorders>
            <w:shd w:val="clear" w:color="auto" w:fill="auto"/>
            <w:noWrap/>
            <w:vAlign w:val="bottom"/>
            <w:hideMark/>
          </w:tcPr>
          <w:p w:rsidR="009E1BD9" w:rsidRPr="00416E35" w:rsidRDefault="009E1BD9" w:rsidP="005C0120">
            <w:pPr>
              <w:jc w:val="center"/>
              <w:rPr>
                <w:rFonts w:cs="Calibri"/>
                <w:b/>
                <w:bCs/>
                <w:sz w:val="20"/>
                <w:szCs w:val="20"/>
              </w:rPr>
            </w:pPr>
            <w:r w:rsidRPr="00416E35">
              <w:rPr>
                <w:rFonts w:cs="Calibri"/>
                <w:b/>
                <w:bCs/>
                <w:sz w:val="20"/>
                <w:szCs w:val="20"/>
              </w:rPr>
              <w:t>7</w:t>
            </w:r>
          </w:p>
        </w:tc>
        <w:tc>
          <w:tcPr>
            <w:tcW w:w="267" w:type="pct"/>
            <w:tcBorders>
              <w:top w:val="nil"/>
              <w:left w:val="nil"/>
              <w:bottom w:val="nil"/>
              <w:right w:val="single" w:sz="4" w:space="0" w:color="auto"/>
            </w:tcBorders>
            <w:shd w:val="clear" w:color="auto" w:fill="auto"/>
            <w:noWrap/>
            <w:vAlign w:val="bottom"/>
            <w:hideMark/>
          </w:tcPr>
          <w:p w:rsidR="009E1BD9" w:rsidRPr="00416E35" w:rsidRDefault="009E1BD9" w:rsidP="005C0120">
            <w:pPr>
              <w:jc w:val="center"/>
              <w:rPr>
                <w:rFonts w:cs="Calibri"/>
                <w:b/>
                <w:bCs/>
                <w:sz w:val="20"/>
                <w:szCs w:val="20"/>
              </w:rPr>
            </w:pPr>
            <w:r w:rsidRPr="00416E35">
              <w:rPr>
                <w:rFonts w:cs="Calibri"/>
                <w:b/>
                <w:bCs/>
                <w:sz w:val="20"/>
                <w:szCs w:val="20"/>
              </w:rPr>
              <w:t>8</w:t>
            </w:r>
          </w:p>
        </w:tc>
        <w:tc>
          <w:tcPr>
            <w:tcW w:w="535" w:type="pct"/>
            <w:tcBorders>
              <w:top w:val="nil"/>
              <w:left w:val="nil"/>
              <w:bottom w:val="nil"/>
              <w:right w:val="single" w:sz="4" w:space="0" w:color="auto"/>
            </w:tcBorders>
            <w:shd w:val="clear" w:color="auto" w:fill="auto"/>
            <w:noWrap/>
            <w:vAlign w:val="bottom"/>
            <w:hideMark/>
          </w:tcPr>
          <w:p w:rsidR="009E1BD9" w:rsidRPr="00416E35" w:rsidRDefault="009E1BD9" w:rsidP="005C0120">
            <w:pPr>
              <w:jc w:val="center"/>
              <w:rPr>
                <w:rFonts w:cs="Calibri"/>
                <w:b/>
                <w:bCs/>
                <w:sz w:val="20"/>
                <w:szCs w:val="20"/>
              </w:rPr>
            </w:pPr>
            <w:r w:rsidRPr="00416E35">
              <w:rPr>
                <w:rFonts w:cs="Calibri"/>
                <w:b/>
                <w:bCs/>
                <w:sz w:val="20"/>
                <w:szCs w:val="20"/>
              </w:rPr>
              <w:t>9</w:t>
            </w:r>
          </w:p>
        </w:tc>
        <w:tc>
          <w:tcPr>
            <w:tcW w:w="301" w:type="pct"/>
            <w:tcBorders>
              <w:top w:val="nil"/>
              <w:left w:val="nil"/>
              <w:bottom w:val="nil"/>
              <w:right w:val="single" w:sz="4" w:space="0" w:color="auto"/>
            </w:tcBorders>
            <w:shd w:val="clear" w:color="auto" w:fill="auto"/>
            <w:noWrap/>
            <w:vAlign w:val="bottom"/>
            <w:hideMark/>
          </w:tcPr>
          <w:p w:rsidR="009E1BD9" w:rsidRPr="00416E35" w:rsidRDefault="009E1BD9" w:rsidP="005C0120">
            <w:pPr>
              <w:jc w:val="center"/>
              <w:rPr>
                <w:rFonts w:cs="Calibri"/>
                <w:b/>
                <w:bCs/>
                <w:sz w:val="20"/>
                <w:szCs w:val="20"/>
              </w:rPr>
            </w:pPr>
            <w:r w:rsidRPr="00416E35">
              <w:rPr>
                <w:rFonts w:cs="Calibri"/>
                <w:b/>
                <w:bCs/>
                <w:sz w:val="20"/>
                <w:szCs w:val="20"/>
              </w:rPr>
              <w:t>10</w:t>
            </w:r>
          </w:p>
        </w:tc>
        <w:tc>
          <w:tcPr>
            <w:tcW w:w="515" w:type="pct"/>
            <w:tcBorders>
              <w:top w:val="nil"/>
              <w:left w:val="nil"/>
              <w:bottom w:val="nil"/>
              <w:right w:val="single" w:sz="8" w:space="0" w:color="auto"/>
            </w:tcBorders>
            <w:shd w:val="clear" w:color="auto" w:fill="auto"/>
            <w:noWrap/>
            <w:vAlign w:val="bottom"/>
            <w:hideMark/>
          </w:tcPr>
          <w:p w:rsidR="009E1BD9" w:rsidRPr="00416E35" w:rsidRDefault="009E1BD9" w:rsidP="005C0120">
            <w:pPr>
              <w:jc w:val="center"/>
              <w:rPr>
                <w:rFonts w:cs="Calibri"/>
                <w:b/>
                <w:bCs/>
                <w:sz w:val="20"/>
                <w:szCs w:val="20"/>
              </w:rPr>
            </w:pPr>
            <w:r w:rsidRPr="00416E35">
              <w:rPr>
                <w:rFonts w:cs="Calibri"/>
                <w:b/>
                <w:bCs/>
                <w:sz w:val="20"/>
                <w:szCs w:val="20"/>
              </w:rPr>
              <w:t>11</w:t>
            </w:r>
          </w:p>
        </w:tc>
      </w:tr>
      <w:tr w:rsidR="009E1BD9" w:rsidRPr="00416E35" w:rsidTr="009E1BD9">
        <w:trPr>
          <w:trHeight w:val="2730"/>
        </w:trPr>
        <w:tc>
          <w:tcPr>
            <w:tcW w:w="1483" w:type="pct"/>
            <w:tcBorders>
              <w:top w:val="nil"/>
              <w:left w:val="single" w:sz="8" w:space="0" w:color="auto"/>
              <w:bottom w:val="single" w:sz="4" w:space="0" w:color="auto"/>
              <w:right w:val="single" w:sz="4" w:space="0" w:color="auto"/>
            </w:tcBorders>
            <w:shd w:val="clear" w:color="auto" w:fill="auto"/>
            <w:hideMark/>
          </w:tcPr>
          <w:p w:rsidR="009E1BD9" w:rsidRPr="00416E35" w:rsidRDefault="009E1BD9" w:rsidP="005C0120">
            <w:pPr>
              <w:rPr>
                <w:rFonts w:cs="Calibri"/>
                <w:sz w:val="20"/>
                <w:szCs w:val="20"/>
              </w:rPr>
            </w:pPr>
            <w:r w:rsidRPr="00416E35">
              <w:rPr>
                <w:rFonts w:cs="Calibri"/>
                <w:sz w:val="20"/>
                <w:szCs w:val="20"/>
              </w:rPr>
              <w:t>Preparat do dezynfekcji małych i trudnodostępnych powierzchni na bazie alkoholi ( etylowego i izopropylowego) i czwartorzędowej soli amoniowej, nie zawierający aldehydów, gotowy do użycia, nie wymagający spłukiwania. Spektrum działania: B, F (C.albicans, A. Niger), V (BVDV/Vaccina, Rota,Adeno,Noro,Polio),  Tbc - w czasie -30 sekund. Produkt spełniający normy dla obszaru medycznego, w tym 16615.Produkt podwójnego przeznaczenia: produkt biobójczy/ wyrób medyczny kl.II a.</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1L ze spryskiwaczem</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900</w:t>
            </w:r>
          </w:p>
        </w:tc>
        <w:tc>
          <w:tcPr>
            <w:tcW w:w="259" w:type="pct"/>
            <w:tcBorders>
              <w:top w:val="single" w:sz="4" w:space="0" w:color="auto"/>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3315"/>
        </w:trPr>
        <w:tc>
          <w:tcPr>
            <w:tcW w:w="1483"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rPr>
                <w:rFonts w:cs="Calibri"/>
                <w:sz w:val="20"/>
                <w:szCs w:val="20"/>
              </w:rPr>
            </w:pPr>
            <w:r w:rsidRPr="00416E35">
              <w:rPr>
                <w:rFonts w:cs="Calibri"/>
                <w:sz w:val="20"/>
                <w:szCs w:val="20"/>
              </w:rPr>
              <w:t>Preparat tlenowy do dezynfekcji powierzchni i sprzętu medycznego w tym inkubatorów i łyżek laryngoskopowych. Na bazie nadsiarczanów. Bez aldehydów, chloru i związków amoniowych. Preparat rozpuszczalny w bieżącej wodzie, roztwór roboczy bezbarwny, aktywny min. 24 godziny.,. Spektrum działania: B, F, Tbc (M. Terrae, M. avium) V (HIV, HBV, HCV, adeno, noro, polio, rota) w czasie do 15 min. w stężeniu do 2%. Możliwość rozszerzenia o spory (w tym C.difficile). Wyrób medyczny klasy II a.</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op.40 g</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130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3225"/>
        </w:trPr>
        <w:tc>
          <w:tcPr>
            <w:tcW w:w="1483"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rPr>
                <w:rFonts w:cs="Calibri"/>
                <w:sz w:val="20"/>
                <w:szCs w:val="20"/>
              </w:rPr>
            </w:pPr>
            <w:r w:rsidRPr="00416E35">
              <w:rPr>
                <w:rFonts w:cs="Calibri"/>
                <w:sz w:val="20"/>
                <w:szCs w:val="20"/>
              </w:rPr>
              <w:t>Preparat do higienicznego i chirurgicznego mycia rąk przeznaczony dla skóry wrażliwej i zniszczonej. Bez zawartości mydła,barwników ,substancji zapachowych i parabenów. Z dodatkiem alkoholu. Nie wykazujący działania bójczego. Z możliwością mycia pacjentów także przed zabiegami operacyjnymi,w profilaktyce oraz pomocniczo w leczeniu pieluszkowego zapalenia skóry u niemowląt. Zawierający alantoinę, chroniącą skórę przed podrażnieniami. Preparat sprawdzony dermataologicznie, pH 5,0. Kosmetyk.</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500ml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600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2895"/>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Preparat alkoholowy do higienicznej oraz chirurgicznej dezynfekcji rąk. Zawierający alkohol propan-2-ol, nie mniej niż 75g/100 g produktu oraz dodatkowo substancje pielęgnujące (d-panthenol+etyloheksyloglicerynę), bez zawartości barwników oraz substancji zapachowych. Testowany dermatologicznie. Higieniczna dezynfekcja rąk 30s., chirurgiczna dezynfekcja rąk 90 s. Spektrum działania:  B (w tym MRSA), F (C.albicans), Tbc, V (HIV, HBV, HCV, Rota, Noro, Adeno, Vaccinia). Produkt biobójczy</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500ml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750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1261"/>
        </w:trPr>
        <w:tc>
          <w:tcPr>
            <w:tcW w:w="1483"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rPr>
                <w:rFonts w:cs="Calibri"/>
                <w:sz w:val="20"/>
                <w:szCs w:val="20"/>
              </w:rPr>
            </w:pPr>
            <w:r w:rsidRPr="00416E35">
              <w:rPr>
                <w:rFonts w:cs="Calibri"/>
                <w:sz w:val="20"/>
                <w:szCs w:val="20"/>
              </w:rPr>
              <w:t>Preparat do dezynfekcji ran, błon śluzowych oraz skóry. Bezbarwny, gotowy do użycia na bazie octenidyny, bez zawartości alkoholu, jodu i chlorheksydyny. Zakres zastosowania: odkażanie i wspomaganie leczenia ran,  pielęgnacja szwów pooperacyjnych, leczenie antyseptyczne w obrębie błon śluzowych i sąsiadujących tkanek przed i po procedurach diagnostycznych w obrębie narządów płciowych , przed cewnikowaniem pęcherza moczowego, w pediatrii do pielęgnacji kikuta pępowinowego, do dezynfekcji jamy ustnej.  Spektrum działania: B (łącznie z Chlamydium, Mycoplasma), F,drożdżaki,  V (HIV, HBV,HSV), pierwotniaki(Trichomonas). Działanie leku utrzymuje się w czasie 1 godziny.Produkt leczniczy.</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250 ml ze spryskiwaczem</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700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1550"/>
        </w:trPr>
        <w:tc>
          <w:tcPr>
            <w:tcW w:w="1483"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rPr>
                <w:rFonts w:cs="Calibri"/>
                <w:sz w:val="20"/>
                <w:szCs w:val="20"/>
              </w:rPr>
            </w:pPr>
            <w:r w:rsidRPr="00416E35">
              <w:rPr>
                <w:rFonts w:cs="Calibri"/>
                <w:sz w:val="20"/>
                <w:szCs w:val="20"/>
              </w:rPr>
              <w:t>Preparat do dezynfekcji ran, błon śluzowych oraz skóry. Bezbarwny, gotowy do użycia na bazie octenidyny, bez zawartości alkoholu, jodu i chlorheksydyny. Zakres zastosowania: odkażanie i wspomaganie leczenia ran,  pielęgnacja szwów pooperacyjnych, leczenie antyseptyczne w obrębie błon śluzowych i sąsiadujących tkanek przed i po procedurach diagnostycznych w obrębie narządów płciowych , przed cewnikowaniem pęcherza moczowego, w pediatrii do pielęgnacji kikuta pępowinowego, do dezynfekcji jamy ustnej.  Spektrum działania: B (łącznie z Chlamydium, Mycoplasma), F,drożdżaki,  V (HIV, HBV,HSV), pierwotniaki(Trichomonas). Działanie leku utrzymuje się w czasie 1 godziny. Produkt leczniczy.</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1 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800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2580"/>
        </w:trPr>
        <w:tc>
          <w:tcPr>
            <w:tcW w:w="1483" w:type="pct"/>
            <w:tcBorders>
              <w:top w:val="nil"/>
              <w:left w:val="nil"/>
              <w:bottom w:val="single" w:sz="4" w:space="0" w:color="auto"/>
              <w:right w:val="single" w:sz="4" w:space="0" w:color="auto"/>
            </w:tcBorders>
            <w:shd w:val="clear" w:color="auto" w:fill="auto"/>
            <w:hideMark/>
          </w:tcPr>
          <w:p w:rsidR="009E1BD9" w:rsidRPr="00416E35" w:rsidRDefault="009E1BD9" w:rsidP="005C0120">
            <w:pPr>
              <w:rPr>
                <w:rFonts w:cs="Calibri"/>
                <w:sz w:val="20"/>
                <w:szCs w:val="20"/>
              </w:rPr>
            </w:pPr>
            <w:r w:rsidRPr="00416E35">
              <w:rPr>
                <w:rFonts w:cs="Calibri"/>
                <w:sz w:val="20"/>
                <w:szCs w:val="20"/>
              </w:rPr>
              <w:t>Preparat do chirurgicznego, higienicznego mycia rąk i ciała oraz włosów pacjentów, o właściwościach pielęgnujących, na bazie syntetycznych składników. Zawierający związki powierzchniowo czynne, substancje natłuszczające – z zawartością alantoiny oraz o kwasu mlekowego. Do toalety ciała pacjentów przed zabiegami. Bez zawartości mydła i parabenów, pH ok.  5,0. Kosmetyk.</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500 ml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150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1575"/>
        </w:trPr>
        <w:tc>
          <w:tcPr>
            <w:tcW w:w="1483" w:type="pct"/>
            <w:tcBorders>
              <w:top w:val="nil"/>
              <w:left w:val="nil"/>
              <w:bottom w:val="single" w:sz="4" w:space="0" w:color="auto"/>
              <w:right w:val="single" w:sz="4" w:space="0" w:color="auto"/>
            </w:tcBorders>
            <w:shd w:val="clear" w:color="auto" w:fill="auto"/>
            <w:hideMark/>
          </w:tcPr>
          <w:p w:rsidR="009E1BD9" w:rsidRPr="00416E35" w:rsidRDefault="009E1BD9" w:rsidP="005C0120">
            <w:pPr>
              <w:rPr>
                <w:rFonts w:cs="Calibri"/>
                <w:sz w:val="20"/>
                <w:szCs w:val="20"/>
              </w:rPr>
            </w:pPr>
            <w:r w:rsidRPr="00416E35">
              <w:rPr>
                <w:rFonts w:cs="Calibri"/>
                <w:sz w:val="20"/>
                <w:szCs w:val="20"/>
              </w:rPr>
              <w:t>Pianka czyszczaco-pielegnująca do zanieczyszczonej wydalinami skóry,zawierajaca składniki przeciwbakteryjne i przeciwgrzybicze,posiadająca jako nośnik gaz. Na bazie parafiny, zawierająca alkohol benzylowy,fenyloetylowy i tenzydy .Kosmetyk.</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500ml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550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1440"/>
        </w:trPr>
        <w:tc>
          <w:tcPr>
            <w:tcW w:w="1483" w:type="pct"/>
            <w:tcBorders>
              <w:top w:val="nil"/>
              <w:left w:val="nil"/>
              <w:bottom w:val="single" w:sz="4" w:space="0" w:color="auto"/>
              <w:right w:val="single" w:sz="4" w:space="0" w:color="auto"/>
            </w:tcBorders>
            <w:shd w:val="clear" w:color="auto" w:fill="auto"/>
            <w:hideMark/>
          </w:tcPr>
          <w:p w:rsidR="009E1BD9" w:rsidRPr="00416E35" w:rsidRDefault="009E1BD9" w:rsidP="005C0120">
            <w:pPr>
              <w:rPr>
                <w:rFonts w:cs="Calibri"/>
                <w:sz w:val="20"/>
                <w:szCs w:val="20"/>
              </w:rPr>
            </w:pPr>
            <w:r w:rsidRPr="00416E35">
              <w:rPr>
                <w:rFonts w:cs="Calibri"/>
                <w:sz w:val="20"/>
                <w:szCs w:val="20"/>
              </w:rPr>
              <w:t>Preparat do mycia i dekontaminacji skóry rąk oraz ciała pacjentów o pH 4,8-5,2. Zawierający octenidynę i kwas mlekowy, bez pochodnych guanidyny i triclosanu. Gotowy do użycia. Kosmetyk.</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500 ml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4095"/>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Bezbarwny preparat alkoholowy do dezynfekcji skóry pacjenta przed zabiegami operacyjnymi, cewnikowaniem żył, pobieraniem krwi oraz płynów ustrojowych, zastrzykami, punkcjami, biopsjami, zdejmowaniem szwów (wskazania potwierdzone w ChPL). Preparat gotowy do użycia, zawierający min. 3 substancje czynne oraz nadtlenek wodoru. Nie zawierający alkoholu etylowego, jodu i jego pochodnych, chlorheksydyny, związków amoniowych. Spektrum działania: B (w tym MRSA), F (w tym dermatofity), Tbc, V (HIV, HBV, rotawirus, adenowirus, herpes simplex, wirus grypy azjatyckiej). Dawkowanie: przed zastrzykami i pobieraniem krwi 15s., przedoperacyjna dezynfekcja skóry 60 s. Produkt leczniczy</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1L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320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1120"/>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Alkoholowy płyn do higienicznej i chirurgicznej dezynfekcji rąk na bazie alkoholu etylowego, bez zawartości dodatkowych substancji czynnych; zawierający substancje pielęgnujące (d-pantenol, witaminę E).</w:t>
            </w:r>
            <w:r w:rsidRPr="00416E35">
              <w:rPr>
                <w:rFonts w:cs="Calibri"/>
                <w:sz w:val="20"/>
                <w:szCs w:val="20"/>
              </w:rPr>
              <w:br/>
              <w:t>Produkt bez zawartości substancji barwiących i zapachowych. Testowany dermatologicznie. Spektrum działania: B, F, Tbc, V (polio, adeno, noro,  HIV, HBV, HCV, vaccinia). Pełne działanie wirusobójcze w czasie do 30 s.</w:t>
            </w:r>
            <w:r w:rsidRPr="00416E35">
              <w:rPr>
                <w:rFonts w:cs="Calibri"/>
                <w:sz w:val="20"/>
                <w:szCs w:val="20"/>
              </w:rPr>
              <w:br/>
              <w:t>Dezynfekcja higieniczna EN 1500 - 30s, chirurgiczna EN 12791- 90 s.</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500 ml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900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3990"/>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Bezbarwny preparat alkoholowy do dezynfekcji skóry pacjenta przed zabiegami operacyjnymi, cewnikowaniem żył, pobieraniem krwi oraz płynów ustrojowych, zastrzykami, punkcjami, biopsjami, zdejmowaniem szwów (wskazania potwierdzone w ChPL). Preparat gotowy do użycia, zawierający min. 3 substancje czynne oraz nadtlenek wodoru. Nie zawierający alkoholu etylowego, jodu i jego pochodnych, chlorheksydyny, związków amoniowych. Spektrum działania: B (w tym MRSA), F (w tym dermatofity), Tbc, V (HIV, HBV, rotawirus, adenowirus, herpes simplex, wirus grypy azjatyckiej). Dawkowanie: przed zastrzykami i pobieraniem krwi 15s., przedoperacyjna dezynfekcja skóry 60 s. Produkt leczniczy</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250ml z pompką</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500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3735"/>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Barwiony preparat alkoholowy do dezynfekcji skóry pacjenta przed zabiegami operacyjnymi, cewnikowaniem żył, pobieraniem krwi oraz płynów ustrojowych, zastrzykami, punkcjami, biopsjami, zdejmowaniem szwów (wskazania potwierdzone w ChPL). Preparat gotowy do użycia, zawierający min. 3 substancje czynne oraz nadtlenek wodoru. Nie zawierający alkoholu etylowego, jodu i jego pochodnych, chlorheksydyny, związków amoniowych. Spektrum działania: B (w tym MRSA), F (w tym dermatofity), Tbc, V (HIV, HBV, rotawirus, adenowirus, herpes simplex, wirus grypy azjatyckiej). Dawkowanie: przed zastrzykami i pobieraniem krwi 15s., przedoperacyjna dezynfekcja skóry 60 s. Produkt leczniczy.</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1L</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380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3675"/>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Barwiony preparat alkoholowy do dezynfekcji skóry pacjenta przed zabiegami operacyjnymi, cewnikowaniem żył, pobieraniem krwi oraz płynów ustrojowych, zastrzykami, punkcjami, biopsjami, zdejmowaniem szwów (wskazania potwierdzone w ChPL). Preparat gotowy do użycia, zawierający min. 3 substancje czynne oraz nadtlenek wodoru. Nie zawierający alkoholu etylowego, jodu i jego pochodnych, chlorheksydyny, związków amoniowych. Spektrum działania: B (w tym MRSA), F (w tym dermatofity), Tbc, V (HIV, HBV, rotawirus, adenowirus, herpes simplex, wirus grypy azjatyckiej). Dawkowanie: przed zastrzykami i pobieraniem krwi 15s., przedoperacyjna dezynfekcja skóry 60 s. Produkt leczniczy.</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op.250ml z pompką</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50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978"/>
        </w:trPr>
        <w:tc>
          <w:tcPr>
            <w:tcW w:w="1483" w:type="pct"/>
            <w:tcBorders>
              <w:top w:val="nil"/>
              <w:left w:val="nil"/>
              <w:bottom w:val="single" w:sz="4" w:space="0" w:color="auto"/>
              <w:right w:val="single" w:sz="4" w:space="0" w:color="auto"/>
            </w:tcBorders>
            <w:shd w:val="clear" w:color="auto" w:fill="auto"/>
            <w:hideMark/>
          </w:tcPr>
          <w:p w:rsidR="009E1BD9" w:rsidRPr="00416E35" w:rsidRDefault="009E1BD9" w:rsidP="005C0120">
            <w:pPr>
              <w:rPr>
                <w:rFonts w:cs="Calibri"/>
                <w:sz w:val="20"/>
                <w:szCs w:val="20"/>
              </w:rPr>
            </w:pPr>
            <w:r w:rsidRPr="00416E35">
              <w:rPr>
                <w:rFonts w:cs="Calibri"/>
                <w:sz w:val="20"/>
                <w:szCs w:val="20"/>
              </w:rPr>
              <w:t>Koncentrat do mycia i dezynfekcji powierzchni i przedmiotów oraz powierzchni wyrobów medycznych na bazie czwartorzędowych związków amoniowych oraz amin. Spektrum działania:B, F, Tbc, V (Vaccinia,BVDV, rota) w stężeniu od 0,5%-1% 15 min, z możliwością rozszerzenia działania o wirusy adeno i noro. Produkt o szerokiej tolerancji materiałowej, z możliwością stosowania do powierzchni ze stali nierdzewnej, cynku, polietylenu. Produkt podwójnego przeznaczenia: wyrób medyczny i produkt biobójczy</w:t>
            </w:r>
          </w:p>
        </w:tc>
        <w:tc>
          <w:tcPr>
            <w:tcW w:w="416"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5l + pompka</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30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b/>
                <w:bCs/>
                <w:sz w:val="20"/>
                <w:szCs w:val="20"/>
              </w:rPr>
            </w:pPr>
          </w:p>
        </w:tc>
      </w:tr>
      <w:tr w:rsidR="009E1BD9" w:rsidRPr="00416E35" w:rsidTr="009E1BD9">
        <w:trPr>
          <w:trHeight w:val="3765"/>
        </w:trPr>
        <w:tc>
          <w:tcPr>
            <w:tcW w:w="1483" w:type="pct"/>
            <w:tcBorders>
              <w:top w:val="nil"/>
              <w:left w:val="nil"/>
              <w:bottom w:val="single" w:sz="4" w:space="0" w:color="auto"/>
              <w:right w:val="single" w:sz="4" w:space="0" w:color="auto"/>
            </w:tcBorders>
            <w:shd w:val="clear" w:color="auto" w:fill="auto"/>
            <w:hideMark/>
          </w:tcPr>
          <w:p w:rsidR="009E1BD9" w:rsidRPr="00416E35" w:rsidRDefault="009E1BD9" w:rsidP="005C0120">
            <w:pPr>
              <w:rPr>
                <w:rFonts w:cs="Calibri"/>
                <w:sz w:val="20"/>
                <w:szCs w:val="20"/>
              </w:rPr>
            </w:pPr>
            <w:r w:rsidRPr="00416E35">
              <w:rPr>
                <w:rFonts w:cs="Calibri"/>
                <w:sz w:val="20"/>
                <w:szCs w:val="20"/>
              </w:rPr>
              <w:t xml:space="preserve">Gotowe do użycia chusteczki do dezynfekcji powierzchni wyrobów medycznych. Zawierające w składzie </w:t>
            </w:r>
            <w:r w:rsidRPr="00416E35">
              <w:rPr>
                <w:rFonts w:cs="Calibri"/>
                <w:sz w:val="20"/>
                <w:szCs w:val="20"/>
              </w:rPr>
              <w:br/>
              <w:t>mieszaninę alkoholi (etanolu i propanolu) nie więcej niż 30g/100g roztworu, charakteryzujące się doskonałą kompatybilnością materiałową pozwalającą na dezynfekcję smartfonów , ekranów dotykowych, wyświetlaczy, klawiatur, sztucznej skóry, powierzchni mebli. Przebadane zgodnie z normą 16615 w 1 minutę. Spektrum działania: B, F (C.albicans), BVDV, vaccinia, rota, adeno, noro, Tbc (M.terrae) .Testowane dermatologicznie. Rozmiar chusteczki 20x20 cm, gramatura 50 g/m2, opakowanie typu flow-pack zawierające 100 szt chusteczek. Okres przydatności po otwarciu 28 dni.</w:t>
            </w:r>
          </w:p>
        </w:tc>
        <w:tc>
          <w:tcPr>
            <w:tcW w:w="416"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op.100 szt</w:t>
            </w: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60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3165"/>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Preparat na bazie aktywnego tlenu myjąco-dezynfekujący do manualnego oraz półautomatycznego reprocesowania endoskopów elastycznych, narzędzi oraz innych wyrobów medycznych wykonanych z wrażliwych materiałów. Możliwość stosowania w myjniach ultradźwiękowych i czyszczenia metodą cyrkulacyjną (półautomaty). Spektrum działania: B, F, V(polio, adeno, noro), Tbc, S (C.Difficile, C.perfingens, B.Subtilis) – warunki brudne w stężeniu 2% w czasie do 15 min. Wyrób medyczny.</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op.1,5 kg</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6</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9E1BD9">
        <w:trPr>
          <w:trHeight w:val="1140"/>
        </w:trPr>
        <w:tc>
          <w:tcPr>
            <w:tcW w:w="1483" w:type="pct"/>
            <w:tcBorders>
              <w:top w:val="nil"/>
              <w:left w:val="nil"/>
              <w:bottom w:val="single" w:sz="4" w:space="0" w:color="auto"/>
              <w:right w:val="single" w:sz="4" w:space="0" w:color="auto"/>
            </w:tcBorders>
            <w:shd w:val="clear" w:color="auto" w:fill="auto"/>
            <w:vAlign w:val="bottom"/>
            <w:hideMark/>
          </w:tcPr>
          <w:p w:rsidR="009E1BD9" w:rsidRPr="00416E35" w:rsidRDefault="009E1BD9" w:rsidP="005C0120">
            <w:pPr>
              <w:rPr>
                <w:rFonts w:cs="Calibri"/>
                <w:sz w:val="20"/>
                <w:szCs w:val="20"/>
              </w:rPr>
            </w:pPr>
            <w:r w:rsidRPr="00416E35">
              <w:rPr>
                <w:rFonts w:cs="Calibri"/>
                <w:sz w:val="20"/>
                <w:szCs w:val="20"/>
              </w:rPr>
              <w:t>Balsam regeneracyjny do rąk i ciała, na bazie białego oleju, bez zawartości barwników i składników alergizujących, nie pozostawiający tłustej powłoki.</w:t>
            </w:r>
          </w:p>
        </w:tc>
        <w:tc>
          <w:tcPr>
            <w:tcW w:w="416" w:type="pct"/>
            <w:tcBorders>
              <w:top w:val="nil"/>
              <w:left w:val="nil"/>
              <w:bottom w:val="single" w:sz="4" w:space="0" w:color="auto"/>
              <w:right w:val="single" w:sz="4" w:space="0" w:color="auto"/>
            </w:tcBorders>
            <w:shd w:val="clear" w:color="auto" w:fill="auto"/>
            <w:vAlign w:val="center"/>
            <w:hideMark/>
          </w:tcPr>
          <w:p w:rsidR="009E1BD9" w:rsidRPr="00416E35" w:rsidRDefault="009E1BD9" w:rsidP="005C0120">
            <w:pPr>
              <w:jc w:val="center"/>
              <w:rPr>
                <w:rFonts w:cs="Calibri"/>
                <w:sz w:val="20"/>
                <w:szCs w:val="20"/>
              </w:rPr>
            </w:pPr>
            <w:r w:rsidRPr="00416E35">
              <w:rPr>
                <w:rFonts w:cs="Calibri"/>
                <w:sz w:val="20"/>
                <w:szCs w:val="20"/>
              </w:rPr>
              <w:t>op 500 ml z pompką</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sz w:val="20"/>
                <w:szCs w:val="20"/>
              </w:rPr>
            </w:pPr>
            <w:r w:rsidRPr="00416E35">
              <w:rPr>
                <w:rFonts w:cs="Calibri"/>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right"/>
              <w:rPr>
                <w:rFonts w:cs="Calibri"/>
                <w:sz w:val="20"/>
                <w:szCs w:val="20"/>
              </w:rPr>
            </w:pPr>
          </w:p>
        </w:tc>
        <w:tc>
          <w:tcPr>
            <w:tcW w:w="5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5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267"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3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9E1BD9" w:rsidRPr="00416E35" w:rsidRDefault="009E1BD9" w:rsidP="005C0120">
            <w:pPr>
              <w:jc w:val="center"/>
              <w:rPr>
                <w:rFonts w:cs="Calibri"/>
                <w:sz w:val="20"/>
                <w:szCs w:val="20"/>
              </w:rPr>
            </w:pPr>
          </w:p>
        </w:tc>
      </w:tr>
      <w:tr w:rsidR="009E1BD9" w:rsidRPr="00416E35" w:rsidTr="005C0120">
        <w:trPr>
          <w:trHeight w:val="375"/>
        </w:trPr>
        <w:tc>
          <w:tcPr>
            <w:tcW w:w="1483" w:type="pct"/>
            <w:tcBorders>
              <w:top w:val="nil"/>
              <w:left w:val="nil"/>
              <w:bottom w:val="single" w:sz="4" w:space="0" w:color="auto"/>
              <w:right w:val="single" w:sz="4" w:space="0" w:color="auto"/>
            </w:tcBorders>
            <w:shd w:val="clear" w:color="auto" w:fill="auto"/>
            <w:hideMark/>
          </w:tcPr>
          <w:p w:rsidR="009E1BD9" w:rsidRPr="00416E35" w:rsidRDefault="009E1BD9" w:rsidP="005C0120">
            <w:pPr>
              <w:rPr>
                <w:rFonts w:cs="Calibri"/>
                <w:b/>
                <w:bCs/>
                <w:sz w:val="20"/>
                <w:szCs w:val="20"/>
              </w:rPr>
            </w:pPr>
            <w:r w:rsidRPr="00416E35">
              <w:rPr>
                <w:rFonts w:cs="Calibri"/>
                <w:b/>
                <w:bCs/>
                <w:sz w:val="20"/>
                <w:szCs w:val="20"/>
              </w:rPr>
              <w:t>Razem</w:t>
            </w:r>
          </w:p>
        </w:tc>
        <w:tc>
          <w:tcPr>
            <w:tcW w:w="416"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 </w:t>
            </w:r>
          </w:p>
        </w:tc>
        <w:tc>
          <w:tcPr>
            <w:tcW w:w="501"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 </w:t>
            </w:r>
          </w:p>
        </w:tc>
        <w:tc>
          <w:tcPr>
            <w:tcW w:w="535"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9E1BD9" w:rsidRPr="00416E35" w:rsidRDefault="009E1BD9" w:rsidP="005C0120">
            <w:pPr>
              <w:jc w:val="center"/>
              <w:rPr>
                <w:rFonts w:cs="Calibri"/>
                <w:b/>
                <w:bCs/>
                <w:sz w:val="20"/>
                <w:szCs w:val="20"/>
              </w:rPr>
            </w:pPr>
            <w:r w:rsidRPr="00416E35">
              <w:rPr>
                <w:rFonts w:cs="Calibri"/>
                <w:b/>
                <w:bCs/>
                <w:sz w:val="20"/>
                <w:szCs w:val="20"/>
              </w:rPr>
              <w:t> </w:t>
            </w:r>
          </w:p>
        </w:tc>
      </w:tr>
      <w:tr w:rsidR="009E1BD9" w:rsidRPr="00416E35" w:rsidTr="005C0120">
        <w:trPr>
          <w:trHeight w:val="375"/>
        </w:trPr>
        <w:tc>
          <w:tcPr>
            <w:tcW w:w="1483" w:type="pct"/>
            <w:tcBorders>
              <w:top w:val="nil"/>
              <w:left w:val="nil"/>
              <w:bottom w:val="nil"/>
              <w:right w:val="nil"/>
            </w:tcBorders>
            <w:shd w:val="clear" w:color="auto" w:fill="auto"/>
            <w:hideMark/>
          </w:tcPr>
          <w:p w:rsidR="009E1BD9" w:rsidRPr="00416E35" w:rsidRDefault="009E1BD9" w:rsidP="005C0120">
            <w:pPr>
              <w:jc w:val="center"/>
              <w:rPr>
                <w:rFonts w:cs="Calibri"/>
                <w:sz w:val="20"/>
                <w:szCs w:val="20"/>
              </w:rPr>
            </w:pPr>
          </w:p>
        </w:tc>
        <w:tc>
          <w:tcPr>
            <w:tcW w:w="416" w:type="pct"/>
            <w:tcBorders>
              <w:top w:val="nil"/>
              <w:left w:val="nil"/>
              <w:bottom w:val="nil"/>
              <w:right w:val="nil"/>
            </w:tcBorders>
            <w:shd w:val="clear" w:color="auto" w:fill="auto"/>
            <w:noWrap/>
            <w:vAlign w:val="center"/>
            <w:hideMark/>
          </w:tcPr>
          <w:p w:rsidR="009E1BD9" w:rsidRPr="00416E35" w:rsidRDefault="009E1BD9" w:rsidP="005C0120">
            <w:pPr>
              <w:rPr>
                <w:rFonts w:cs="Calibri"/>
                <w:sz w:val="20"/>
                <w:szCs w:val="20"/>
              </w:rPr>
            </w:pPr>
          </w:p>
        </w:tc>
        <w:tc>
          <w:tcPr>
            <w:tcW w:w="320"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259"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501"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251"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267"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535"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301"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515"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r>
      <w:tr w:rsidR="009E1BD9" w:rsidRPr="00416E35" w:rsidTr="005C0120">
        <w:trPr>
          <w:trHeight w:val="375"/>
        </w:trPr>
        <w:tc>
          <w:tcPr>
            <w:tcW w:w="1483" w:type="pct"/>
            <w:tcBorders>
              <w:top w:val="nil"/>
              <w:left w:val="nil"/>
              <w:bottom w:val="nil"/>
              <w:right w:val="nil"/>
            </w:tcBorders>
            <w:shd w:val="clear" w:color="auto" w:fill="auto"/>
            <w:hideMark/>
          </w:tcPr>
          <w:p w:rsidR="009E1BD9" w:rsidRPr="00416E35" w:rsidRDefault="009E1BD9" w:rsidP="005C0120">
            <w:pPr>
              <w:rPr>
                <w:rFonts w:cs="Calibri"/>
                <w:b/>
                <w:bCs/>
                <w:sz w:val="20"/>
                <w:szCs w:val="20"/>
              </w:rPr>
            </w:pPr>
            <w:r w:rsidRPr="00416E35">
              <w:rPr>
                <w:rFonts w:cs="Calibri"/>
                <w:b/>
                <w:bCs/>
                <w:sz w:val="20"/>
                <w:szCs w:val="20"/>
              </w:rPr>
              <w:t>Uwaga</w:t>
            </w:r>
          </w:p>
        </w:tc>
        <w:tc>
          <w:tcPr>
            <w:tcW w:w="416" w:type="pct"/>
            <w:tcBorders>
              <w:top w:val="nil"/>
              <w:left w:val="nil"/>
              <w:bottom w:val="nil"/>
              <w:right w:val="nil"/>
            </w:tcBorders>
            <w:shd w:val="clear" w:color="auto" w:fill="auto"/>
            <w:noWrap/>
            <w:vAlign w:val="center"/>
            <w:hideMark/>
          </w:tcPr>
          <w:p w:rsidR="009E1BD9" w:rsidRPr="00416E35" w:rsidRDefault="009E1BD9" w:rsidP="005C0120">
            <w:pPr>
              <w:rPr>
                <w:rFonts w:cs="Calibri"/>
                <w:b/>
                <w:bCs/>
                <w:sz w:val="20"/>
                <w:szCs w:val="20"/>
              </w:rPr>
            </w:pPr>
          </w:p>
        </w:tc>
        <w:tc>
          <w:tcPr>
            <w:tcW w:w="320"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259"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501"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251"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267"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535"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301"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c>
          <w:tcPr>
            <w:tcW w:w="515" w:type="pct"/>
            <w:tcBorders>
              <w:top w:val="nil"/>
              <w:left w:val="nil"/>
              <w:bottom w:val="nil"/>
              <w:right w:val="nil"/>
            </w:tcBorders>
            <w:shd w:val="clear" w:color="auto" w:fill="auto"/>
            <w:noWrap/>
            <w:vAlign w:val="center"/>
            <w:hideMark/>
          </w:tcPr>
          <w:p w:rsidR="009E1BD9" w:rsidRPr="00416E35" w:rsidRDefault="009E1BD9" w:rsidP="005C0120">
            <w:pPr>
              <w:jc w:val="center"/>
              <w:rPr>
                <w:rFonts w:cs="Calibri"/>
                <w:sz w:val="20"/>
                <w:szCs w:val="20"/>
              </w:rPr>
            </w:pPr>
          </w:p>
        </w:tc>
      </w:tr>
      <w:tr w:rsidR="009E1BD9" w:rsidRPr="00416E35" w:rsidTr="005C0120">
        <w:trPr>
          <w:trHeight w:val="420"/>
        </w:trPr>
        <w:tc>
          <w:tcPr>
            <w:tcW w:w="4848" w:type="pct"/>
            <w:gridSpan w:val="10"/>
            <w:tcBorders>
              <w:top w:val="nil"/>
              <w:left w:val="nil"/>
              <w:bottom w:val="nil"/>
              <w:right w:val="nil"/>
            </w:tcBorders>
            <w:shd w:val="clear" w:color="auto" w:fill="auto"/>
            <w:noWrap/>
            <w:vAlign w:val="center"/>
            <w:hideMark/>
          </w:tcPr>
          <w:p w:rsidR="009E1BD9" w:rsidRPr="00416E35" w:rsidRDefault="009E1BD9" w:rsidP="005C0120">
            <w:pPr>
              <w:rPr>
                <w:rFonts w:cs="Calibri"/>
                <w:b/>
                <w:bCs/>
                <w:sz w:val="20"/>
                <w:szCs w:val="20"/>
              </w:rPr>
            </w:pPr>
            <w:r w:rsidRPr="00416E35">
              <w:rPr>
                <w:rFonts w:cs="Calibri"/>
                <w:b/>
                <w:bCs/>
                <w:sz w:val="20"/>
                <w:szCs w:val="20"/>
              </w:rPr>
              <w:t>Wykonawca zobowiązany jest na czas trwania umowy przekazać dostęp do  aplikacji mobilnej umożliwiającej monitorowanie higieny rąk oraz powierzchni.</w:t>
            </w:r>
          </w:p>
        </w:tc>
      </w:tr>
    </w:tbl>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Termin </w:t>
      </w:r>
      <w:r w:rsidR="00AE44C6">
        <w:rPr>
          <w:rFonts w:ascii="Cambria" w:hAnsi="Cambria" w:cs="Arial"/>
          <w:bCs/>
          <w:sz w:val="20"/>
          <w:szCs w:val="20"/>
        </w:rPr>
        <w:t>dostawy: ………………. dni.(max. 48 godzin</w:t>
      </w: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p>
    <w:p w:rsidR="00A407F6" w:rsidRPr="00A407F6" w:rsidRDefault="00A407F6" w:rsidP="00A407F6">
      <w:pPr>
        <w:tabs>
          <w:tab w:val="left" w:pos="9072"/>
        </w:tabs>
        <w:spacing w:line="480" w:lineRule="auto"/>
        <w:jc w:val="both"/>
        <w:rPr>
          <w:rFonts w:ascii="Cambria" w:hAnsi="Cambria" w:cs="Arial"/>
          <w:bCs/>
          <w:i/>
          <w:sz w:val="20"/>
          <w:szCs w:val="20"/>
        </w:rPr>
      </w:pPr>
      <w:r w:rsidRPr="00A407F6">
        <w:rPr>
          <w:rFonts w:ascii="Cambria" w:hAnsi="Cambria" w:cs="Arial"/>
          <w:bCs/>
          <w:i/>
          <w:sz w:val="20"/>
          <w:szCs w:val="20"/>
        </w:rPr>
        <w:t xml:space="preserve">                                                                                                                                                                                                    (podpis</w:t>
      </w:r>
      <w:r w:rsidR="00AE44C6">
        <w:rPr>
          <w:rFonts w:ascii="Cambria" w:hAnsi="Cambria" w:cs="Arial"/>
          <w:bCs/>
          <w:i/>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E44C6" w:rsidRDefault="00AE44C6" w:rsidP="00A407F6">
      <w:pPr>
        <w:tabs>
          <w:tab w:val="left" w:pos="9072"/>
        </w:tabs>
        <w:spacing w:line="480" w:lineRule="auto"/>
        <w:jc w:val="both"/>
        <w:rPr>
          <w:rFonts w:ascii="Cambria" w:hAnsi="Cambria" w:cs="Arial"/>
          <w:bCs/>
          <w:sz w:val="20"/>
          <w:szCs w:val="20"/>
        </w:rPr>
      </w:pP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Wykonawca:</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i/>
          <w:sz w:val="20"/>
          <w:szCs w:val="20"/>
        </w:rPr>
      </w:pPr>
      <w:r w:rsidRPr="00AE44C6">
        <w:rPr>
          <w:rFonts w:ascii="Cambria" w:hAnsi="Cambria" w:cs="Arial"/>
          <w:bCs/>
          <w:sz w:val="20"/>
          <w:szCs w:val="20"/>
        </w:rPr>
        <w:t>(</w:t>
      </w:r>
      <w:r w:rsidRPr="00AE44C6">
        <w:rPr>
          <w:rFonts w:ascii="Cambria" w:hAnsi="Cambria" w:cs="Arial"/>
          <w:bCs/>
          <w:i/>
          <w:sz w:val="20"/>
          <w:szCs w:val="20"/>
        </w:rPr>
        <w:t>pełna nazwa/firma, adres)</w:t>
      </w:r>
    </w:p>
    <w:p w:rsidR="00AE44C6" w:rsidRPr="00AE44C6" w:rsidRDefault="00AE44C6" w:rsidP="00AE44C6">
      <w:pPr>
        <w:tabs>
          <w:tab w:val="left" w:pos="9072"/>
        </w:tabs>
        <w:spacing w:line="480" w:lineRule="auto"/>
        <w:jc w:val="both"/>
        <w:rPr>
          <w:rFonts w:ascii="Cambria" w:hAnsi="Cambria" w:cs="Arial"/>
          <w:bCs/>
          <w:i/>
          <w:sz w:val="20"/>
          <w:szCs w:val="20"/>
        </w:rPr>
      </w:pPr>
      <w:r w:rsidRPr="00AE44C6">
        <w:rPr>
          <w:rFonts w:ascii="Cambria" w:hAnsi="Cambria" w:cs="Arial"/>
          <w:bCs/>
          <w:sz w:val="20"/>
          <w:szCs w:val="20"/>
        </w:rPr>
        <w:t>NIP</w:t>
      </w:r>
      <w:r w:rsidRPr="00AE44C6">
        <w:rPr>
          <w:rFonts w:ascii="Cambria" w:hAnsi="Cambria" w:cs="Arial"/>
          <w:bCs/>
          <w:i/>
          <w:sz w:val="20"/>
          <w:szCs w:val="20"/>
        </w:rPr>
        <w:t xml:space="preserve"> ……………………….</w:t>
      </w:r>
    </w:p>
    <w:p w:rsidR="00AE44C6" w:rsidRPr="00AE44C6" w:rsidRDefault="00AE44C6" w:rsidP="00AE44C6">
      <w:pPr>
        <w:tabs>
          <w:tab w:val="left" w:pos="9072"/>
        </w:tabs>
        <w:spacing w:line="480" w:lineRule="auto"/>
        <w:jc w:val="both"/>
        <w:rPr>
          <w:rFonts w:ascii="Cambria" w:hAnsi="Cambria" w:cs="Arial"/>
          <w:b/>
          <w:bCs/>
          <w:sz w:val="20"/>
          <w:szCs w:val="20"/>
          <w:u w:val="single"/>
        </w:rPr>
      </w:pPr>
      <w:r w:rsidRPr="00AE44C6">
        <w:rPr>
          <w:rFonts w:ascii="Cambria" w:hAnsi="Cambria" w:cs="Arial"/>
          <w:b/>
          <w:bCs/>
          <w:sz w:val="20"/>
          <w:szCs w:val="20"/>
        </w:rPr>
        <w:t xml:space="preserve">                                                                                                                                 </w:t>
      </w:r>
      <w:r w:rsidRPr="00AE44C6">
        <w:rPr>
          <w:rFonts w:ascii="Cambria" w:hAnsi="Cambria" w:cs="Arial"/>
          <w:b/>
          <w:bCs/>
          <w:sz w:val="20"/>
          <w:szCs w:val="20"/>
          <w:u w:val="single"/>
        </w:rPr>
        <w:t xml:space="preserve">O F E R T A –zadanie </w:t>
      </w:r>
      <w:r>
        <w:rPr>
          <w:rFonts w:ascii="Cambria" w:hAnsi="Cambria" w:cs="Arial"/>
          <w:b/>
          <w:bCs/>
          <w:sz w:val="20"/>
          <w:szCs w:val="20"/>
          <w:u w:val="single"/>
        </w:rPr>
        <w:t>2</w:t>
      </w:r>
    </w:p>
    <w:p w:rsidR="00AE44C6" w:rsidRPr="00AE44C6" w:rsidRDefault="00AE44C6" w:rsidP="00AE44C6">
      <w:pPr>
        <w:tabs>
          <w:tab w:val="left" w:pos="9072"/>
        </w:tabs>
        <w:spacing w:line="480" w:lineRule="auto"/>
        <w:jc w:val="both"/>
        <w:rPr>
          <w:rFonts w:ascii="Cambria" w:hAnsi="Cambria" w:cs="Arial"/>
          <w:bCs/>
          <w:sz w:val="20"/>
          <w:szCs w:val="20"/>
        </w:rPr>
      </w:pP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 xml:space="preserve">       W odpowiedzi na ogłoszenie dotyczące  udzielenia zamówienia publicznego na dostawy środków dezynfekcyjnych dla Szpitala Specjalistycznego w Brzozowie Podkarpackiego Ośrodka Onkologicznego im. Ks. B. Markiewicza, znak sprawy SZSPOO.SZPiGM. 3810/51/2022, przedstawiamy następującą ofertę:</w:t>
      </w:r>
    </w:p>
    <w:tbl>
      <w:tblPr>
        <w:tblW w:w="5000" w:type="pct"/>
        <w:tblLayout w:type="fixed"/>
        <w:tblCellMar>
          <w:left w:w="70" w:type="dxa"/>
          <w:right w:w="70" w:type="dxa"/>
        </w:tblCellMar>
        <w:tblLook w:val="04A0" w:firstRow="1" w:lastRow="0" w:firstColumn="1" w:lastColumn="0" w:noHBand="0" w:noVBand="1"/>
      </w:tblPr>
      <w:tblGrid>
        <w:gridCol w:w="556"/>
        <w:gridCol w:w="2943"/>
        <w:gridCol w:w="1580"/>
        <w:gridCol w:w="717"/>
        <w:gridCol w:w="903"/>
        <w:gridCol w:w="1389"/>
        <w:gridCol w:w="774"/>
        <w:gridCol w:w="783"/>
        <w:gridCol w:w="1306"/>
        <w:gridCol w:w="1000"/>
        <w:gridCol w:w="2334"/>
      </w:tblGrid>
      <w:tr w:rsidR="00AE44C6" w:rsidRPr="00416E35" w:rsidTr="005C0120">
        <w:trPr>
          <w:trHeight w:val="390"/>
        </w:trPr>
        <w:tc>
          <w:tcPr>
            <w:tcW w:w="195" w:type="pct"/>
            <w:tcBorders>
              <w:top w:val="nil"/>
              <w:left w:val="nil"/>
              <w:bottom w:val="nil"/>
              <w:right w:val="nil"/>
            </w:tcBorders>
            <w:shd w:val="clear" w:color="auto" w:fill="auto"/>
            <w:noWrap/>
            <w:vAlign w:val="center"/>
            <w:hideMark/>
          </w:tcPr>
          <w:p w:rsidR="00AE44C6" w:rsidRPr="00416E35" w:rsidRDefault="00AE44C6" w:rsidP="005C0120">
            <w:pPr>
              <w:rPr>
                <w:rFonts w:cs="Calibri"/>
                <w:sz w:val="20"/>
                <w:szCs w:val="20"/>
              </w:rPr>
            </w:pPr>
          </w:p>
        </w:tc>
        <w:tc>
          <w:tcPr>
            <w:tcW w:w="1030" w:type="pct"/>
            <w:tcBorders>
              <w:top w:val="nil"/>
              <w:left w:val="nil"/>
              <w:bottom w:val="nil"/>
              <w:right w:val="nil"/>
            </w:tcBorders>
            <w:shd w:val="clear" w:color="auto" w:fill="auto"/>
            <w:noWrap/>
            <w:vAlign w:val="bottom"/>
            <w:hideMark/>
          </w:tcPr>
          <w:p w:rsidR="00AE44C6" w:rsidRPr="00416E35" w:rsidRDefault="00AE44C6" w:rsidP="005C0120">
            <w:pPr>
              <w:rPr>
                <w:rFonts w:cs="Calibri"/>
                <w:b/>
                <w:bCs/>
                <w:sz w:val="20"/>
                <w:szCs w:val="20"/>
              </w:rPr>
            </w:pPr>
            <w:r w:rsidRPr="00416E35">
              <w:rPr>
                <w:rFonts w:cs="Calibri"/>
                <w:b/>
                <w:bCs/>
                <w:sz w:val="20"/>
                <w:szCs w:val="20"/>
              </w:rPr>
              <w:t xml:space="preserve">Zadanie nr  2 </w:t>
            </w:r>
          </w:p>
        </w:tc>
        <w:tc>
          <w:tcPr>
            <w:tcW w:w="553" w:type="pct"/>
            <w:tcBorders>
              <w:top w:val="nil"/>
              <w:left w:val="nil"/>
              <w:bottom w:val="nil"/>
              <w:right w:val="nil"/>
            </w:tcBorders>
            <w:shd w:val="clear" w:color="auto" w:fill="auto"/>
            <w:noWrap/>
            <w:vAlign w:val="center"/>
            <w:hideMark/>
          </w:tcPr>
          <w:p w:rsidR="00AE44C6" w:rsidRPr="00416E35" w:rsidRDefault="00AE44C6" w:rsidP="005C0120">
            <w:pPr>
              <w:rPr>
                <w:rFonts w:cs="Calibri"/>
                <w:b/>
                <w:bCs/>
                <w:sz w:val="20"/>
                <w:szCs w:val="20"/>
              </w:rPr>
            </w:pPr>
          </w:p>
        </w:tc>
        <w:tc>
          <w:tcPr>
            <w:tcW w:w="251" w:type="pct"/>
            <w:tcBorders>
              <w:top w:val="nil"/>
              <w:left w:val="nil"/>
              <w:bottom w:val="nil"/>
              <w:right w:val="nil"/>
            </w:tcBorders>
            <w:shd w:val="clear" w:color="auto" w:fill="auto"/>
            <w:noWrap/>
            <w:vAlign w:val="bottom"/>
            <w:hideMark/>
          </w:tcPr>
          <w:p w:rsidR="00AE44C6" w:rsidRPr="00416E35" w:rsidRDefault="00AE44C6" w:rsidP="005C0120">
            <w:pPr>
              <w:jc w:val="center"/>
              <w:rPr>
                <w:rFonts w:cs="Calibri"/>
                <w:sz w:val="20"/>
                <w:szCs w:val="20"/>
              </w:rPr>
            </w:pPr>
          </w:p>
        </w:tc>
        <w:tc>
          <w:tcPr>
            <w:tcW w:w="316"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486"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271"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274"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457"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350"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817"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5C0120">
        <w:trPr>
          <w:trHeight w:val="1275"/>
        </w:trPr>
        <w:tc>
          <w:tcPr>
            <w:tcW w:w="195" w:type="pct"/>
            <w:tcBorders>
              <w:top w:val="single" w:sz="8" w:space="0" w:color="auto"/>
              <w:left w:val="single" w:sz="8" w:space="0" w:color="auto"/>
              <w:bottom w:val="single" w:sz="8" w:space="0" w:color="auto"/>
              <w:right w:val="nil"/>
            </w:tcBorders>
            <w:shd w:val="clear" w:color="auto" w:fill="auto"/>
            <w:noWrap/>
            <w:vAlign w:val="center"/>
            <w:hideMark/>
          </w:tcPr>
          <w:p w:rsidR="00AE44C6" w:rsidRPr="00416E35" w:rsidRDefault="00AE44C6" w:rsidP="005C0120">
            <w:pPr>
              <w:jc w:val="center"/>
              <w:rPr>
                <w:rFonts w:cs="Calibri"/>
                <w:b/>
                <w:bCs/>
                <w:sz w:val="20"/>
                <w:szCs w:val="20"/>
              </w:rPr>
            </w:pPr>
            <w:r w:rsidRPr="00416E35">
              <w:rPr>
                <w:rFonts w:cs="Calibri"/>
                <w:b/>
                <w:bCs/>
                <w:sz w:val="20"/>
                <w:szCs w:val="20"/>
              </w:rPr>
              <w:t>L.p.</w:t>
            </w:r>
          </w:p>
        </w:tc>
        <w:tc>
          <w:tcPr>
            <w:tcW w:w="10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Nazwa postać</w:t>
            </w:r>
          </w:p>
        </w:tc>
        <w:tc>
          <w:tcPr>
            <w:tcW w:w="553" w:type="pct"/>
            <w:tcBorders>
              <w:top w:val="single" w:sz="8" w:space="0" w:color="auto"/>
              <w:left w:val="nil"/>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j.m.</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 xml:space="preserve">Ilość </w:t>
            </w:r>
          </w:p>
        </w:tc>
        <w:tc>
          <w:tcPr>
            <w:tcW w:w="316" w:type="pct"/>
            <w:tcBorders>
              <w:top w:val="single" w:sz="8" w:space="0" w:color="auto"/>
              <w:left w:val="nil"/>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C.j.netto</w:t>
            </w:r>
          </w:p>
        </w:tc>
        <w:tc>
          <w:tcPr>
            <w:tcW w:w="486" w:type="pct"/>
            <w:tcBorders>
              <w:top w:val="single" w:sz="8" w:space="0" w:color="auto"/>
              <w:left w:val="nil"/>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 xml:space="preserve">Wartość </w:t>
            </w:r>
            <w:r w:rsidRPr="00416E35">
              <w:rPr>
                <w:rFonts w:cs="Calibri"/>
                <w:b/>
                <w:bCs/>
                <w:sz w:val="20"/>
                <w:szCs w:val="20"/>
              </w:rPr>
              <w:br/>
              <w:t>netto</w:t>
            </w:r>
          </w:p>
        </w:tc>
        <w:tc>
          <w:tcPr>
            <w:tcW w:w="271" w:type="pct"/>
            <w:tcBorders>
              <w:top w:val="single" w:sz="8" w:space="0" w:color="auto"/>
              <w:left w:val="nil"/>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 xml:space="preserve">Stawka </w:t>
            </w:r>
            <w:r w:rsidRPr="00416E35">
              <w:rPr>
                <w:rFonts w:cs="Calibri"/>
                <w:b/>
                <w:bCs/>
                <w:sz w:val="20"/>
                <w:szCs w:val="20"/>
              </w:rPr>
              <w:br/>
              <w:t xml:space="preserve">podatku </w:t>
            </w:r>
            <w:r w:rsidRPr="00416E35">
              <w:rPr>
                <w:rFonts w:cs="Calibri"/>
                <w:b/>
                <w:bCs/>
                <w:sz w:val="20"/>
                <w:szCs w:val="20"/>
              </w:rPr>
              <w:br/>
              <w:t>VAT %</w:t>
            </w:r>
          </w:p>
        </w:tc>
        <w:tc>
          <w:tcPr>
            <w:tcW w:w="274" w:type="pct"/>
            <w:tcBorders>
              <w:top w:val="single" w:sz="8" w:space="0" w:color="auto"/>
              <w:left w:val="nil"/>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C.j. brutto</w:t>
            </w:r>
          </w:p>
        </w:tc>
        <w:tc>
          <w:tcPr>
            <w:tcW w:w="457" w:type="pct"/>
            <w:tcBorders>
              <w:top w:val="single" w:sz="8" w:space="0" w:color="auto"/>
              <w:left w:val="nil"/>
              <w:bottom w:val="single" w:sz="8"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 xml:space="preserve">Wartość </w:t>
            </w:r>
            <w:r w:rsidRPr="00416E35">
              <w:rPr>
                <w:rFonts w:cs="Calibri"/>
                <w:b/>
                <w:bCs/>
                <w:sz w:val="20"/>
                <w:szCs w:val="20"/>
              </w:rPr>
              <w:br/>
              <w:t>brutto</w:t>
            </w:r>
            <w:r w:rsidRPr="00416E35">
              <w:rPr>
                <w:rFonts w:cs="Calibri"/>
                <w:b/>
                <w:bCs/>
                <w:sz w:val="20"/>
                <w:szCs w:val="20"/>
              </w:rPr>
              <w:br/>
              <w:t>(wartość netto + VAT)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Nazwa handlowa</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b/>
                <w:bCs/>
                <w:sz w:val="20"/>
                <w:szCs w:val="20"/>
              </w:rPr>
            </w:pPr>
            <w:r w:rsidRPr="00416E35">
              <w:rPr>
                <w:rFonts w:cs="Calibri"/>
                <w:b/>
                <w:bCs/>
                <w:sz w:val="20"/>
                <w:szCs w:val="20"/>
              </w:rPr>
              <w:t>Producent , Kod EAN</w:t>
            </w:r>
          </w:p>
        </w:tc>
      </w:tr>
      <w:tr w:rsidR="00AE44C6" w:rsidRPr="00416E35" w:rsidTr="005C0120">
        <w:trPr>
          <w:trHeight w:val="330"/>
        </w:trPr>
        <w:tc>
          <w:tcPr>
            <w:tcW w:w="195" w:type="pct"/>
            <w:tcBorders>
              <w:top w:val="nil"/>
              <w:left w:val="single" w:sz="8" w:space="0" w:color="auto"/>
              <w:bottom w:val="single" w:sz="8" w:space="0" w:color="auto"/>
              <w:right w:val="single" w:sz="4" w:space="0" w:color="auto"/>
            </w:tcBorders>
            <w:shd w:val="clear" w:color="auto" w:fill="auto"/>
            <w:noWrap/>
            <w:vAlign w:val="center"/>
            <w:hideMark/>
          </w:tcPr>
          <w:p w:rsidR="00AE44C6" w:rsidRPr="00416E35" w:rsidRDefault="00AE44C6" w:rsidP="005C0120">
            <w:pPr>
              <w:jc w:val="center"/>
              <w:rPr>
                <w:rFonts w:cs="Calibri"/>
                <w:b/>
                <w:bCs/>
                <w:sz w:val="20"/>
                <w:szCs w:val="20"/>
              </w:rPr>
            </w:pPr>
            <w:r w:rsidRPr="00416E35">
              <w:rPr>
                <w:rFonts w:cs="Calibri"/>
                <w:b/>
                <w:bCs/>
                <w:sz w:val="20"/>
                <w:szCs w:val="20"/>
              </w:rPr>
              <w:t>1</w:t>
            </w:r>
          </w:p>
        </w:tc>
        <w:tc>
          <w:tcPr>
            <w:tcW w:w="1030" w:type="pct"/>
            <w:tcBorders>
              <w:top w:val="nil"/>
              <w:left w:val="nil"/>
              <w:bottom w:val="single" w:sz="8" w:space="0" w:color="auto"/>
              <w:right w:val="single" w:sz="4" w:space="0" w:color="auto"/>
            </w:tcBorders>
            <w:shd w:val="clear" w:color="auto" w:fill="auto"/>
            <w:vAlign w:val="bottom"/>
            <w:hideMark/>
          </w:tcPr>
          <w:p w:rsidR="00AE44C6" w:rsidRPr="00416E35" w:rsidRDefault="00AE44C6" w:rsidP="005C0120">
            <w:pPr>
              <w:jc w:val="center"/>
              <w:rPr>
                <w:rFonts w:cs="Calibri"/>
                <w:b/>
                <w:bCs/>
                <w:sz w:val="20"/>
                <w:szCs w:val="20"/>
              </w:rPr>
            </w:pPr>
            <w:r w:rsidRPr="00416E35">
              <w:rPr>
                <w:rFonts w:cs="Calibri"/>
                <w:b/>
                <w:bCs/>
                <w:sz w:val="20"/>
                <w:szCs w:val="20"/>
              </w:rPr>
              <w:t>2</w:t>
            </w:r>
          </w:p>
        </w:tc>
        <w:tc>
          <w:tcPr>
            <w:tcW w:w="553" w:type="pct"/>
            <w:tcBorders>
              <w:top w:val="nil"/>
              <w:left w:val="nil"/>
              <w:bottom w:val="single" w:sz="8" w:space="0" w:color="auto"/>
              <w:right w:val="nil"/>
            </w:tcBorders>
            <w:shd w:val="clear" w:color="auto" w:fill="auto"/>
            <w:vAlign w:val="center"/>
            <w:hideMark/>
          </w:tcPr>
          <w:p w:rsidR="00AE44C6" w:rsidRPr="00416E35" w:rsidRDefault="00AE44C6" w:rsidP="005C0120">
            <w:pPr>
              <w:jc w:val="center"/>
              <w:rPr>
                <w:rFonts w:cs="Calibri"/>
                <w:b/>
                <w:bCs/>
                <w:sz w:val="20"/>
                <w:szCs w:val="20"/>
              </w:rPr>
            </w:pPr>
            <w:r w:rsidRPr="00416E35">
              <w:rPr>
                <w:rFonts w:cs="Calibri"/>
                <w:b/>
                <w:bCs/>
                <w:sz w:val="20"/>
                <w:szCs w:val="20"/>
              </w:rPr>
              <w:t>3</w:t>
            </w:r>
          </w:p>
        </w:tc>
        <w:tc>
          <w:tcPr>
            <w:tcW w:w="251" w:type="pct"/>
            <w:tcBorders>
              <w:top w:val="nil"/>
              <w:left w:val="single" w:sz="8" w:space="0" w:color="auto"/>
              <w:bottom w:val="single" w:sz="8" w:space="0" w:color="auto"/>
              <w:right w:val="single" w:sz="8"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4</w:t>
            </w:r>
          </w:p>
        </w:tc>
        <w:tc>
          <w:tcPr>
            <w:tcW w:w="316" w:type="pct"/>
            <w:tcBorders>
              <w:top w:val="nil"/>
              <w:left w:val="nil"/>
              <w:bottom w:val="single" w:sz="8" w:space="0" w:color="auto"/>
              <w:right w:val="single" w:sz="4"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5</w:t>
            </w:r>
          </w:p>
        </w:tc>
        <w:tc>
          <w:tcPr>
            <w:tcW w:w="486" w:type="pct"/>
            <w:tcBorders>
              <w:top w:val="nil"/>
              <w:left w:val="nil"/>
              <w:bottom w:val="single" w:sz="8" w:space="0" w:color="auto"/>
              <w:right w:val="single" w:sz="4"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6</w:t>
            </w:r>
          </w:p>
        </w:tc>
        <w:tc>
          <w:tcPr>
            <w:tcW w:w="271" w:type="pct"/>
            <w:tcBorders>
              <w:top w:val="nil"/>
              <w:left w:val="nil"/>
              <w:bottom w:val="single" w:sz="8" w:space="0" w:color="auto"/>
              <w:right w:val="single" w:sz="4"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7</w:t>
            </w:r>
          </w:p>
        </w:tc>
        <w:tc>
          <w:tcPr>
            <w:tcW w:w="274" w:type="pct"/>
            <w:tcBorders>
              <w:top w:val="nil"/>
              <w:left w:val="nil"/>
              <w:bottom w:val="single" w:sz="8" w:space="0" w:color="auto"/>
              <w:right w:val="single" w:sz="4"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8</w:t>
            </w:r>
          </w:p>
        </w:tc>
        <w:tc>
          <w:tcPr>
            <w:tcW w:w="457" w:type="pct"/>
            <w:tcBorders>
              <w:top w:val="nil"/>
              <w:left w:val="nil"/>
              <w:bottom w:val="single" w:sz="8" w:space="0" w:color="auto"/>
              <w:right w:val="single" w:sz="4"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9</w:t>
            </w:r>
          </w:p>
        </w:tc>
        <w:tc>
          <w:tcPr>
            <w:tcW w:w="350" w:type="pct"/>
            <w:tcBorders>
              <w:top w:val="nil"/>
              <w:left w:val="nil"/>
              <w:bottom w:val="single" w:sz="8" w:space="0" w:color="auto"/>
              <w:right w:val="single" w:sz="4"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10</w:t>
            </w:r>
          </w:p>
        </w:tc>
        <w:tc>
          <w:tcPr>
            <w:tcW w:w="817" w:type="pct"/>
            <w:tcBorders>
              <w:top w:val="nil"/>
              <w:left w:val="nil"/>
              <w:bottom w:val="single" w:sz="8" w:space="0" w:color="auto"/>
              <w:right w:val="single" w:sz="8" w:space="0" w:color="auto"/>
            </w:tcBorders>
            <w:shd w:val="clear" w:color="auto" w:fill="auto"/>
            <w:noWrap/>
            <w:vAlign w:val="bottom"/>
            <w:hideMark/>
          </w:tcPr>
          <w:p w:rsidR="00AE44C6" w:rsidRPr="00416E35" w:rsidRDefault="00AE44C6" w:rsidP="005C0120">
            <w:pPr>
              <w:jc w:val="center"/>
              <w:rPr>
                <w:rFonts w:cs="Calibri"/>
                <w:b/>
                <w:bCs/>
                <w:sz w:val="20"/>
                <w:szCs w:val="20"/>
              </w:rPr>
            </w:pPr>
            <w:r w:rsidRPr="00416E35">
              <w:rPr>
                <w:rFonts w:cs="Calibri"/>
                <w:b/>
                <w:bCs/>
                <w:sz w:val="20"/>
                <w:szCs w:val="20"/>
              </w:rPr>
              <w:t>11</w:t>
            </w:r>
          </w:p>
        </w:tc>
      </w:tr>
      <w:tr w:rsidR="00AE44C6" w:rsidRPr="00416E35" w:rsidTr="00AE44C6">
        <w:trPr>
          <w:trHeight w:val="346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1.</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AE44C6" w:rsidRPr="00416E35" w:rsidRDefault="00AE44C6" w:rsidP="005C0120">
            <w:pPr>
              <w:rPr>
                <w:rFonts w:cs="Calibri"/>
                <w:sz w:val="20"/>
                <w:szCs w:val="20"/>
              </w:rPr>
            </w:pPr>
            <w:r w:rsidRPr="00416E35">
              <w:rPr>
                <w:rFonts w:cs="Calibri"/>
                <w:sz w:val="20"/>
                <w:szCs w:val="20"/>
              </w:rPr>
              <w:t>Preparat do bezobsługowej dezynfekcji powierzchni pomieszczeń i nieinwazyjnych wyrobów medycznych metodą dyfuzji. Potwierdzona badaniami skuteczność bójcza wobec bakterii, prątków, grzybów i wirusów lipofilnych (Corona, Ebola itp.). Czas wyłączenia pomieszczenia łącznie z czasem ekspozycji max. 60 min. Możliwość stosowania w obecności sprzętu elektronicznego i innych delikatnych powierzchni. Posiada właściwości eliminujące nieprzyjemne zapachy.</w:t>
            </w:r>
            <w:r w:rsidRPr="00416E35">
              <w:rPr>
                <w:rFonts w:cs="Calibri"/>
                <w:sz w:val="20"/>
                <w:szCs w:val="20"/>
              </w:rPr>
              <w:br/>
              <w:t>Wyrób medyczny kl.IIa</w:t>
            </w:r>
            <w:r w:rsidRPr="00416E35">
              <w:rPr>
                <w:rFonts w:cs="Calibri"/>
                <w:sz w:val="20"/>
                <w:szCs w:val="20"/>
              </w:rPr>
              <w:br/>
              <w:t xml:space="preserve">Opakowania 50 ml  (ok. 40 m3)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 xml:space="preserve">op .50 ml </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1200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 </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AE44C6">
        <w:trPr>
          <w:trHeight w:val="2967"/>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2.</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spacing w:after="240"/>
              <w:rPr>
                <w:rFonts w:cs="Calibri"/>
                <w:sz w:val="20"/>
                <w:szCs w:val="20"/>
              </w:rPr>
            </w:pPr>
            <w:r w:rsidRPr="00416E35">
              <w:rPr>
                <w:rFonts w:cs="Calibri"/>
                <w:sz w:val="20"/>
                <w:szCs w:val="20"/>
              </w:rPr>
              <w:t>Preparat myjąco-dezynfekcyjny do dużych powierzchni na bazie QAV bez zawartości fenoli, chloru, substancji nadtlenowych, glukoprotaminy. Skuteczność mikrobójcza w stężeniu 0,5%: bakterie ( w tym Legionella), grzyby (C.albicans), prątki (Mycobacterium avium oraz Mycobacterium terre), wirusy: BVDV ( HIV, HBV, HCV, Rota ) w czasie 15 minut z możliwością poszerzenia działania wobec wirusów Vaccinia, Noro,  Adeno oraz grzybów Aspergilius niger. skuteczność wirusobójcza zgodnie z normą EN 14 476 lub zgodnie z wytycznymi RKI. Możliwość stosowania w obecności pacjentów, na oddziałach dziecięcych i noworodkowych (deklaracja producenta). Możliwość stosowania do powierzchni i urządzeń mających jak i nie mających bezpośredniego kontaktu z żywnością. Przyjemny zapach, nie pozostawia smug, nie ma konieczności płukania mytych powierzchni. Kanistry 5 l dostosowane do automatów dozujących typu QFM R-Gab High Flow. Ph koncentratu 11</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1 L z dozownikiem przelewowym</w:t>
            </w:r>
          </w:p>
        </w:tc>
        <w:tc>
          <w:tcPr>
            <w:tcW w:w="251"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right"/>
              <w:rPr>
                <w:rFonts w:cs="Calibri"/>
                <w:sz w:val="20"/>
                <w:szCs w:val="20"/>
              </w:rPr>
            </w:pPr>
            <w:r w:rsidRPr="00416E35">
              <w:rPr>
                <w:rFonts w:cs="Calibri"/>
                <w:sz w:val="20"/>
                <w:szCs w:val="20"/>
              </w:rPr>
              <w:t>20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AE44C6">
        <w:trPr>
          <w:trHeight w:val="4959"/>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3</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spacing w:after="240"/>
              <w:rPr>
                <w:rFonts w:cs="Calibri"/>
                <w:sz w:val="20"/>
                <w:szCs w:val="20"/>
              </w:rPr>
            </w:pPr>
            <w:r w:rsidRPr="00416E35">
              <w:rPr>
                <w:rFonts w:cs="Calibri"/>
                <w:sz w:val="20"/>
                <w:szCs w:val="20"/>
              </w:rPr>
              <w:t>Preparat myjąco-dezynfekcyjny do dużych powierzchni na bazie QAV bez zawartości fenoli, chloru, substancji nadtlenowych, glukoprotaminy. Skuteczność mikrobójcza w stężeniu 0,5%: bakterie ( w tym Legionella), grzyby (C.albicans), prątki (Mycobacterium avium oraz Mycobacterium terre), wirusy: BVDV ( HIV, HBV, HCV, Rota ) w czasie 15 minut z możliwością poszerzenia działania wobec wirusów Vaccinia, Noro,  Adeno oraz grzybów Aspergilius niger. skuteczność wirusobójcza zgodnie z normą EN 14 476 lub zgodnie z wytycznymi RKI. Możliwość stosowania w obecności pacjentów, na oddziałach dziecięcych i noworodkowych (deklaracja producenta). Możliwość stosowania do powierzchni i urządzeń mających jak i nie mających bezpośredniego kontaktu z żywnością. Przyjemny zapach, nie pozostawia smug, nie ma konieczności płukania mytych powierzchni. Kanistry 5 l dostosowane do automatów dozujących typu QFM R-Gab High Flow, ph koncentratu 11</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5 L (wymagane pompki doz.,minim. 1 pomp. na 4 op.prep.)</w:t>
            </w:r>
          </w:p>
        </w:tc>
        <w:tc>
          <w:tcPr>
            <w:tcW w:w="251"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right"/>
              <w:rPr>
                <w:rFonts w:cs="Calibri"/>
                <w:sz w:val="20"/>
                <w:szCs w:val="20"/>
              </w:rPr>
            </w:pPr>
            <w:r w:rsidRPr="00416E35">
              <w:rPr>
                <w:rFonts w:cs="Calibri"/>
                <w:sz w:val="20"/>
                <w:szCs w:val="20"/>
              </w:rPr>
              <w:t>180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sz w:val="20"/>
                <w:szCs w:val="20"/>
              </w:rPr>
            </w:pPr>
          </w:p>
        </w:tc>
      </w:tr>
      <w:tr w:rsidR="00AE44C6" w:rsidRPr="00416E35" w:rsidTr="00AE44C6">
        <w:trPr>
          <w:trHeight w:val="315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4</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Preparat do dezynfekcji powierzchni, skuteczny wobec  zanieczyszczeń organicznych. Substancja czynna – NaDCC, w postaci tabletki uwalniającej powyżej 2,5 g aktywnego chloru.</w:t>
            </w:r>
            <w:r w:rsidRPr="00416E35">
              <w:rPr>
                <w:rFonts w:cs="Calibri"/>
                <w:sz w:val="20"/>
                <w:szCs w:val="20"/>
              </w:rPr>
              <w:br/>
              <w:t>Wymagane spektrum  biobójcze w stężeniu podstawowym: B, F, V w czasie 15 min  Z możliwością rozszerzenia o Tbc i zwiększania stężeń w zależności od potrzeby zastosowania.</w:t>
            </w:r>
            <w:r w:rsidRPr="00416E35">
              <w:rPr>
                <w:rFonts w:cs="Calibri"/>
                <w:sz w:val="20"/>
                <w:szCs w:val="20"/>
              </w:rPr>
              <w:br/>
              <w:t>Łatwe dozowanie i wykonanie roztworu roboczego – 1 tab. na ¼   10 l pojemnika  wody.Możliwość rozszerzenia działania o C.difficile w czasie max. 5 min.wg EN 13704.</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op.100 tabl.</w:t>
            </w:r>
          </w:p>
        </w:tc>
        <w:tc>
          <w:tcPr>
            <w:tcW w:w="251"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right"/>
              <w:rPr>
                <w:rFonts w:cs="Calibri"/>
                <w:sz w:val="20"/>
                <w:szCs w:val="20"/>
              </w:rPr>
            </w:pPr>
            <w:r w:rsidRPr="00416E35">
              <w:rPr>
                <w:rFonts w:cs="Calibri"/>
                <w:sz w:val="20"/>
                <w:szCs w:val="20"/>
              </w:rPr>
              <w:t>120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sz w:val="20"/>
                <w:szCs w:val="20"/>
              </w:rPr>
            </w:pPr>
          </w:p>
        </w:tc>
      </w:tr>
      <w:tr w:rsidR="00AE44C6" w:rsidRPr="00416E35" w:rsidTr="00AE44C6">
        <w:trPr>
          <w:trHeight w:val="283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5.</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Preparat do szybkiej dezynfekcji powierzchni na bazie 72g etanolu. Charakteryzujący się szybkim czasem działania: B, F (C. albicans, A. niger), V (HAV, HIV, HBV, HCV, Noro, Adeno, Polio, Herpes) – 15 sekund, Tbc – 30 sekund. Skutecznośc bójcza potwierdzona zgodnie z normami EN . Możliwość stosowania na oddziałach dziecięcych i noworodkowych. Przebadany dermatologicznie.</w:t>
            </w:r>
            <w:r w:rsidRPr="00416E35">
              <w:rPr>
                <w:rFonts w:cs="Calibri"/>
                <w:sz w:val="20"/>
                <w:szCs w:val="20"/>
              </w:rPr>
              <w:br/>
              <w:t>Wyrób medyczny kl. IIa</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 xml:space="preserve">op. 1 L </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800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sz w:val="20"/>
                <w:szCs w:val="20"/>
              </w:rPr>
            </w:pPr>
          </w:p>
        </w:tc>
      </w:tr>
      <w:tr w:rsidR="00AE44C6" w:rsidRPr="00416E35" w:rsidTr="00AE44C6">
        <w:trPr>
          <w:trHeight w:val="3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6.</w:t>
            </w:r>
          </w:p>
        </w:tc>
        <w:tc>
          <w:tcPr>
            <w:tcW w:w="1030"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rPr>
                <w:rFonts w:cs="Calibri"/>
                <w:sz w:val="20"/>
                <w:szCs w:val="20"/>
              </w:rPr>
            </w:pPr>
            <w:r w:rsidRPr="00416E35">
              <w:rPr>
                <w:rFonts w:cs="Calibri"/>
                <w:sz w:val="20"/>
                <w:szCs w:val="20"/>
              </w:rPr>
              <w:t>Chusteczki inkrustowane chlorem, uwalniające 10 000 aktywnego chloru.</w:t>
            </w:r>
            <w:r w:rsidRPr="00416E35">
              <w:rPr>
                <w:rFonts w:cs="Calibri"/>
                <w:sz w:val="20"/>
                <w:szCs w:val="20"/>
              </w:rPr>
              <w:br/>
              <w:t>Spektrum bójcze w czasie 15 min: B, Pratki, F, V, Cl.difficile.</w:t>
            </w:r>
            <w:r w:rsidRPr="00416E35">
              <w:rPr>
                <w:rFonts w:cs="Calibri"/>
                <w:sz w:val="20"/>
                <w:szCs w:val="20"/>
              </w:rPr>
              <w:br/>
              <w:t>Możliwość użycia na sucho i na mokro. Posiadające właściwości myjące.</w:t>
            </w:r>
            <w:r w:rsidRPr="00416E35">
              <w:rPr>
                <w:rFonts w:cs="Calibri"/>
                <w:sz w:val="20"/>
                <w:szCs w:val="20"/>
              </w:rPr>
              <w:br/>
              <w:t>Poświadczenie producenta o bezpieczeństwie stosowania w obecności pacjenta, oraz do dezynfekcji powierzchni z resztkami moczu. Dodatkowe badania zgodne z EN 16615:2015 (war.brudne F2/2). Gramatura 60 g. Rozmiar 19 x 24 cm.</w:t>
            </w:r>
            <w:r w:rsidRPr="00416E35">
              <w:rPr>
                <w:rFonts w:cs="Calibri"/>
                <w:sz w:val="20"/>
                <w:szCs w:val="20"/>
              </w:rPr>
              <w:br/>
              <w:t xml:space="preserve">Opakowania a 25 sztuk  </w:t>
            </w:r>
          </w:p>
        </w:tc>
        <w:tc>
          <w:tcPr>
            <w:tcW w:w="553"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 xml:space="preserve">op. </w:t>
            </w:r>
          </w:p>
        </w:tc>
        <w:tc>
          <w:tcPr>
            <w:tcW w:w="251"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right"/>
              <w:rPr>
                <w:rFonts w:cs="Calibri"/>
                <w:sz w:val="20"/>
                <w:szCs w:val="20"/>
              </w:rPr>
            </w:pPr>
            <w:r w:rsidRPr="00416E35">
              <w:rPr>
                <w:rFonts w:cs="Calibri"/>
                <w:sz w:val="20"/>
                <w:szCs w:val="20"/>
              </w:rPr>
              <w:t>100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sz w:val="20"/>
                <w:szCs w:val="20"/>
              </w:rPr>
            </w:pPr>
          </w:p>
        </w:tc>
      </w:tr>
      <w:tr w:rsidR="00AE44C6" w:rsidRPr="00416E35" w:rsidTr="00AE44C6">
        <w:trPr>
          <w:trHeight w:val="1119"/>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7.</w:t>
            </w:r>
          </w:p>
        </w:tc>
        <w:tc>
          <w:tcPr>
            <w:tcW w:w="1030" w:type="pct"/>
            <w:tcBorders>
              <w:top w:val="nil"/>
              <w:left w:val="nil"/>
              <w:bottom w:val="nil"/>
              <w:right w:val="nil"/>
            </w:tcBorders>
            <w:shd w:val="clear" w:color="auto" w:fill="auto"/>
            <w:vAlign w:val="bottom"/>
            <w:hideMark/>
          </w:tcPr>
          <w:p w:rsidR="00AE44C6" w:rsidRPr="00416E35" w:rsidRDefault="00AE44C6" w:rsidP="005C0120">
            <w:pPr>
              <w:rPr>
                <w:rFonts w:cs="Calibri"/>
                <w:sz w:val="20"/>
                <w:szCs w:val="20"/>
              </w:rPr>
            </w:pPr>
            <w:r w:rsidRPr="00416E35">
              <w:rPr>
                <w:rFonts w:cs="Calibri"/>
                <w:sz w:val="20"/>
                <w:szCs w:val="20"/>
              </w:rPr>
              <w:t xml:space="preserve">Gotowy do użytku, bezalkoholowy preparat do szybkiej dezynfekcji i mycia powierzchni, o szerokiej kompatybilności materiałowej, o przyjemnym zapachu, z mozliwością zastosowania do inkubatorów, skuteczny w warunkach brudnych. Spektrum bójcze w czasie 1 min: B, F, Prątki, V, S(B.subtilis) </w:t>
            </w:r>
            <w:r w:rsidRPr="00416E35">
              <w:rPr>
                <w:rFonts w:cs="Calibri"/>
                <w:sz w:val="20"/>
                <w:szCs w:val="20"/>
              </w:rPr>
              <w:br/>
              <w:t xml:space="preserve">750 mł   kazda  butelka ze spryskiwaczem     </w:t>
            </w:r>
          </w:p>
        </w:tc>
        <w:tc>
          <w:tcPr>
            <w:tcW w:w="553"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 xml:space="preserve">op. 750 ml ze spryskiwaczem </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60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sz w:val="20"/>
                <w:szCs w:val="20"/>
              </w:rPr>
            </w:pPr>
          </w:p>
        </w:tc>
      </w:tr>
      <w:tr w:rsidR="00AE44C6" w:rsidRPr="00416E35" w:rsidTr="00AE44C6">
        <w:trPr>
          <w:trHeight w:val="78"/>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8.</w:t>
            </w:r>
          </w:p>
        </w:tc>
        <w:tc>
          <w:tcPr>
            <w:tcW w:w="1030" w:type="pct"/>
            <w:tcBorders>
              <w:top w:val="single" w:sz="4" w:space="0" w:color="auto"/>
              <w:left w:val="nil"/>
              <w:bottom w:val="single" w:sz="4" w:space="0" w:color="auto"/>
              <w:right w:val="single" w:sz="4" w:space="0" w:color="auto"/>
            </w:tcBorders>
            <w:shd w:val="clear" w:color="auto" w:fill="auto"/>
            <w:hideMark/>
          </w:tcPr>
          <w:p w:rsidR="00AE44C6" w:rsidRPr="00416E35" w:rsidRDefault="00AE44C6" w:rsidP="005C0120">
            <w:pPr>
              <w:spacing w:after="240"/>
              <w:rPr>
                <w:rFonts w:cs="Calibri"/>
                <w:sz w:val="20"/>
                <w:szCs w:val="20"/>
              </w:rPr>
            </w:pPr>
            <w:r w:rsidRPr="00416E35">
              <w:rPr>
                <w:rFonts w:cs="Calibri"/>
                <w:sz w:val="20"/>
                <w:szCs w:val="20"/>
              </w:rPr>
              <w:t>Preparat gotowy do użycia o właściwościach myjąco dezynfekujących w formie piany. Na bazie nadtlenku wodoru. Nie podrażniający dróg oddechowych, pozbawiony substancji zapachowych, barwiących, chloru oraz alkoholu. Nie wymagający spłukiwania, dezaktywujący zanieczyszczenia organiczne oraz biofilm. Przeznaczony do obszarów wysokiego ryzyka jak OIT, oddziały dziecięce, izolatki. Przebadany zgodnie według EN, w tym wg EN 16615. Skuteczny wobec: B (EN 13727), F (EN 13697), V (EN 14476) – 1 minuta, mykobakteriobójcze – 5 minut, S(Clostridium difficile R027) –wg EN 17126 -5 minut.</w:t>
            </w:r>
            <w:r w:rsidRPr="00416E35">
              <w:rPr>
                <w:rFonts w:cs="Calibri"/>
                <w:sz w:val="20"/>
                <w:szCs w:val="20"/>
              </w:rPr>
              <w:br/>
              <w:t xml:space="preserve">Opakowanie 750 ml ze spryskiwaczem pianowym, Wyrób medyczny kl. IIa    </w:t>
            </w:r>
            <w:r w:rsidRPr="00416E35">
              <w:rPr>
                <w:rFonts w:cs="Calibri"/>
                <w:sz w:val="20"/>
                <w:szCs w:val="20"/>
              </w:rPr>
              <w:br/>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750 ml</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45</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AE44C6">
        <w:trPr>
          <w:trHeight w:val="1403"/>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9.</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Hypoalergiczny, wegański(na bazie surowców pochodzenia naturalnego) preparat do higienicznego i chirurgicznego mycia rąk oraz całego  ciała i włosów. Przebadany dermatologicznie, bez zawartości substancji zapachowych, barwników i innych substancji obciążajacych skórę. Skuteczność potwierdzona zgodnie z EN.  Składniki oparte na oleju kokosowym, glicerynie. Ph 5,5 (+/-0,5). Bardzo dobrze tolerowany przez skórę nawet przy częstym stosowaniu., delikatny, Zawiera składniki pielęgnujące i nawilżające takie jak gliceryna i betaina.   Może być stosowany w profilaktyce pielęgnacji odleżyn oraz pieluchowego zapalenia skóry.   Dokładnie oczyszcza pory skóry z zanieczyszczeń i mikroorganizmów. Bardzo dobrze się pieni i spłukuje. Możliwość stosowania w oddziałach pediatrycznych. Kosmetyk</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500 ml</w:t>
            </w:r>
          </w:p>
        </w:tc>
        <w:tc>
          <w:tcPr>
            <w:tcW w:w="25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AE44C6">
        <w:trPr>
          <w:trHeight w:val="357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10.</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 xml:space="preserve">Chusteczki do dezynfekcji i mycia delikatnych powierzchni i wyrobów medycznych, wrażliwych na działanie alkoholi,  przebadane dermatologicznie, wykazujące działanie bakterio-; grzybo (C. albicans, </w:t>
            </w:r>
            <w:r w:rsidRPr="00416E35">
              <w:rPr>
                <w:rFonts w:cs="Calibri"/>
                <w:sz w:val="20"/>
                <w:szCs w:val="20"/>
              </w:rPr>
              <w:br/>
              <w:t>A. niger, fumigatus)   i wirusobójcze  (HBV, HCV, Adeno, Noro, Corona, Polyoma, VRS, HSV, H1N1 ) w 5 minut. Tbc. max. 15 min.</w:t>
            </w:r>
            <w:r w:rsidRPr="00416E35">
              <w:rPr>
                <w:rFonts w:cs="Calibri"/>
                <w:sz w:val="20"/>
                <w:szCs w:val="20"/>
              </w:rPr>
              <w:br/>
              <w:t xml:space="preserve">Dostarczane w opakowaniach foliowych typu flow-pack z klipsem zabezpieczającym chusteczki przed wysychaniem (włóknina o gramaturze 45 g/m2 i rozmiarze 18 x 20cm ), </w:t>
            </w:r>
            <w:r w:rsidRPr="00416E35">
              <w:rPr>
                <w:rFonts w:cs="Calibri"/>
                <w:sz w:val="20"/>
                <w:szCs w:val="20"/>
              </w:rPr>
              <w:br/>
              <w:t>Opakowania a 100 szt.</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Pr>
                <w:rFonts w:cs="Calibri"/>
                <w:sz w:val="20"/>
                <w:szCs w:val="20"/>
              </w:rPr>
              <w:t>o</w:t>
            </w:r>
            <w:r w:rsidRPr="00416E35">
              <w:rPr>
                <w:rFonts w:cs="Calibri"/>
                <w:sz w:val="20"/>
                <w:szCs w:val="20"/>
              </w:rPr>
              <w:t>p</w:t>
            </w:r>
            <w:r>
              <w:rPr>
                <w:rFonts w:cs="Calibri"/>
                <w:sz w:val="20"/>
                <w:szCs w:val="20"/>
              </w:rPr>
              <w:t>.</w:t>
            </w:r>
          </w:p>
        </w:tc>
        <w:tc>
          <w:tcPr>
            <w:tcW w:w="25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w:t>
            </w:r>
          </w:p>
        </w:tc>
      </w:tr>
      <w:tr w:rsidR="00AE44C6" w:rsidRPr="00416E35" w:rsidTr="00AE44C6">
        <w:trPr>
          <w:trHeight w:val="315"/>
        </w:trPr>
        <w:tc>
          <w:tcPr>
            <w:tcW w:w="1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11.</w:t>
            </w:r>
          </w:p>
        </w:tc>
        <w:tc>
          <w:tcPr>
            <w:tcW w:w="1030" w:type="pct"/>
            <w:vMerge w:val="restart"/>
            <w:tcBorders>
              <w:top w:val="nil"/>
              <w:left w:val="single" w:sz="4" w:space="0" w:color="auto"/>
              <w:bottom w:val="single" w:sz="4" w:space="0" w:color="000000"/>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 xml:space="preserve">Chusteczki do dezynfekcji i mycia delikatnych powierzchni i wyrobów medycznych, wrażliwych na działanie alkoholi,  przebadane dermatologicznie, wykazujące działanie bakterio-; grzybo (C. albicans, </w:t>
            </w:r>
            <w:r w:rsidRPr="00416E35">
              <w:rPr>
                <w:rFonts w:cs="Calibri"/>
                <w:sz w:val="20"/>
                <w:szCs w:val="20"/>
              </w:rPr>
              <w:br/>
              <w:t xml:space="preserve">A. niger, fumigatus)   i wirusobójcze  (HBV, HCV, Adeno, Noro, Corona, Polyoma, VRS, HSV, H1N1 ) w 5 minut. Tbc. max 15 min.  Rozmiar 13 x 19cm </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tuba a 100 szt.</w:t>
            </w:r>
          </w:p>
        </w:tc>
        <w:tc>
          <w:tcPr>
            <w:tcW w:w="25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w:t>
            </w:r>
          </w:p>
        </w:tc>
      </w:tr>
      <w:tr w:rsidR="00AE44C6" w:rsidRPr="00416E35" w:rsidTr="00AE44C6">
        <w:trPr>
          <w:trHeight w:val="2175"/>
        </w:trPr>
        <w:tc>
          <w:tcPr>
            <w:tcW w:w="195" w:type="pct"/>
            <w:vMerge/>
            <w:tcBorders>
              <w:top w:val="nil"/>
              <w:left w:val="single" w:sz="4" w:space="0" w:color="auto"/>
              <w:bottom w:val="single" w:sz="4" w:space="0" w:color="000000"/>
              <w:right w:val="single" w:sz="4" w:space="0" w:color="auto"/>
            </w:tcBorders>
            <w:vAlign w:val="center"/>
            <w:hideMark/>
          </w:tcPr>
          <w:p w:rsidR="00AE44C6" w:rsidRPr="00416E35" w:rsidRDefault="00AE44C6" w:rsidP="005C0120">
            <w:pPr>
              <w:rPr>
                <w:rFonts w:cs="Calibri"/>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AE44C6" w:rsidRPr="00416E35" w:rsidRDefault="00AE44C6" w:rsidP="005C0120">
            <w:pPr>
              <w:rPr>
                <w:rFonts w:cs="Calibri"/>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wkłady do tuby  a 100 szt.</w:t>
            </w:r>
          </w:p>
        </w:tc>
        <w:tc>
          <w:tcPr>
            <w:tcW w:w="25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w:t>
            </w:r>
          </w:p>
        </w:tc>
      </w:tr>
      <w:tr w:rsidR="00AE44C6" w:rsidRPr="00416E35" w:rsidTr="00AE44C6">
        <w:trPr>
          <w:trHeight w:val="3104"/>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12.</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Emulsja - koncepcja oleju w wodzie, do pielęgnacji suchej, wrażliwej i zniszczonej skóry rąk na bazie wosku pszczelego, zawierająca kwas hialuronowy,kolagen,elastynę i kompleks witamin C, E, F oraz naturalne olejki nawilżające,pielęgnujące i wygładzające skórę pochodzące z orzecha kokosowego,pestek moreli i cytryny. Ph 5,5 - 6,4. Właściwości regenerujące naskórek. Przebadana dermatologicznie, zakres badań zgodny z Europejską Dyrektywą Kosmetyczną 76/768/EEC. Wymagana kompatybilność z preparatem z poz.nr..14 i poz. nr.15. Wymagane dokumenty zgłoszenia do Krajowego Systemu Informowania o Kosmetykach.</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500 ml</w:t>
            </w:r>
          </w:p>
        </w:tc>
        <w:tc>
          <w:tcPr>
            <w:tcW w:w="25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AE44C6">
        <w:trPr>
          <w:trHeight w:val="189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13.</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Preparat do higienicznego i chirurgicznego mycia rąk, na bazie naturalnych surowców, hypoalergiczny, o bardzo dobrych właściwościach myjących i pieniących,   dodatkowo możliwość mycia pacjentów zanieczyszczających się, kąpieli całego ciała w profilaktyce przeciwodleżynowej.  PH 5,5.Wymagany status produktu kosmetycznego. Opakowania  700 ml</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1300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sz w:val="20"/>
                <w:szCs w:val="20"/>
              </w:rPr>
            </w:pPr>
          </w:p>
        </w:tc>
      </w:tr>
      <w:tr w:rsidR="00AE44C6" w:rsidRPr="00416E35" w:rsidTr="00AE44C6">
        <w:trPr>
          <w:trHeight w:val="111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14.</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Preparat do higienicznej i chirurgicznej dezynfekcji rąk, w postaci płynu, jednoalkoholowy  na bazie etanolu. Wymagany status wyrobu medycznego. Kompatybilny z preparatem poz.nr 13</w:t>
            </w:r>
            <w:r w:rsidRPr="00416E35">
              <w:rPr>
                <w:rFonts w:cs="Calibri"/>
                <w:sz w:val="20"/>
                <w:szCs w:val="20"/>
              </w:rPr>
              <w:br/>
              <w:t>Opakowania  700 ml</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1300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AE44C6">
        <w:trPr>
          <w:trHeight w:val="282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15.</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Wodno-alkoholowy preparat w postaci żelu do higienicznej i chirurgicznej dezynfekcji rąk, do skóry alergicznej i bardzo wrażliwej, zawierający glicerol i emolienty chroniące skórę przed wysuszeniem, pozbawiony substancji obciążających skórę, barwników oraz substancji zapachowych. spełniający wymagania PN-EN 1500 i PN-EN 12791 . Przebadany dermatologicznie.</w:t>
            </w:r>
            <w:r w:rsidRPr="00416E35">
              <w:rPr>
                <w:rFonts w:cs="Calibri"/>
                <w:sz w:val="20"/>
                <w:szCs w:val="20"/>
              </w:rPr>
              <w:br/>
              <w:t xml:space="preserve">Skuteczność biobójcza: bakterio-, grzybo-, pratko-, wirusobójcze (Polio, Adeno, Noro, Rota, Corona) w czasie 30 sek. Konfekcjonowany w worki o pojemności 700 ml z zastawką zapobiegającą zasysaniu powietrza i zanieczyszczeń z otoczenia. Worki dwuwarstwowe wykonane z PE, PA z trójdzielną zastawką. Opakowanie kompatybilne z dozownikami łokciowymi i automatycznymi Systemu Sterisol, potwierdzone oświadczeniem producenta dozowników.    Produkt biobójczy  </w:t>
            </w:r>
            <w:r w:rsidRPr="00416E35">
              <w:rPr>
                <w:rFonts w:cs="Calibri"/>
                <w:sz w:val="20"/>
                <w:szCs w:val="20"/>
              </w:rPr>
              <w:br/>
              <w:t>Opakowania 700 ml</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620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sz w:val="20"/>
                <w:szCs w:val="20"/>
              </w:rPr>
            </w:pPr>
          </w:p>
        </w:tc>
      </w:tr>
      <w:tr w:rsidR="00AE44C6" w:rsidRPr="00416E35" w:rsidTr="00AE44C6">
        <w:trPr>
          <w:trHeight w:val="168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16.</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 xml:space="preserve">Preparat w postaci tabletek do mycia i dezynfekcji powierzchni na bazie aktywnego chloru (troklozen sodu). Skuteczność mikrobójcza w warunkach brudnych, potwierdzona badaniami wg Norm Europejskimi: B (EN13727), F (EN13624), V:Polio, Adeno, Noro (EN 14476), Tbc (EN14348), spory-C.difficile (EN13704). Dodatkowe badanie EN 17126 w kierunku C. difficile R027 -  5 minut. Działanie w 1000 ppm w warunkach czystych i w 2000 ppm w warunkach brudnych. Dozowanie: 1 tabletka/1000 ppm na 1 litr wody. Czas ekspozycji do 15 minut. Nieużywany roztwór zachowuje stabilność 1 dzień.   Opakowanie zawierające 200 tabletek      </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330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xml:space="preserve"> </w:t>
            </w:r>
          </w:p>
        </w:tc>
      </w:tr>
      <w:tr w:rsidR="00AE44C6" w:rsidRPr="00416E35" w:rsidTr="00AE44C6">
        <w:trPr>
          <w:trHeight w:val="258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17.</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 xml:space="preserve">Preparat do dezynfekcji wysokiego poziomu (HLD) endoskopów oraz narzędzi medycznych. Na bazie aldehydu glutarowego 2%. Przebadany zgodnie z EN. Skuteczny wobec B, F, Tbc ,V (Polio, Adeno, Noro) w czasie 5 minut, S (EN 17126) w czasie 15 minut. Roztwór zachowuje aktywność przez 28 dni. Możliwości kontroli aktywności za pomocą pasków testowych. Wyrób medyczny kl. II b. Opakowania: kanister 5l. </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30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AE44C6">
        <w:trPr>
          <w:trHeight w:val="70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18.</w:t>
            </w:r>
          </w:p>
        </w:tc>
        <w:tc>
          <w:tcPr>
            <w:tcW w:w="1030"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rPr>
                <w:rFonts w:cs="Calibri"/>
                <w:sz w:val="20"/>
                <w:szCs w:val="20"/>
              </w:rPr>
            </w:pPr>
            <w:r w:rsidRPr="00416E35">
              <w:rPr>
                <w:rFonts w:cs="Calibri"/>
                <w:sz w:val="20"/>
                <w:szCs w:val="20"/>
              </w:rPr>
              <w:t xml:space="preserve">Paski do pozycji: </w:t>
            </w:r>
            <w:r w:rsidRPr="00416E35">
              <w:rPr>
                <w:rFonts w:cs="Calibri"/>
                <w:b/>
                <w:bCs/>
                <w:sz w:val="20"/>
                <w:szCs w:val="20"/>
              </w:rPr>
              <w:t>17</w:t>
            </w:r>
          </w:p>
        </w:tc>
        <w:tc>
          <w:tcPr>
            <w:tcW w:w="553"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op. 25 szt.</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4</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cente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 </w:t>
            </w:r>
          </w:p>
        </w:tc>
      </w:tr>
      <w:tr w:rsidR="00AE44C6" w:rsidRPr="00416E35" w:rsidTr="00AE44C6">
        <w:trPr>
          <w:trHeight w:val="298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19.</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Preparat w koncentracie na bazie kompleksu trójenzymatycznego (proteaza, lipaza, amylaza) oraz PHMB do mycia i dezynfekcji narzędzi medycznych w tym również endoskopów. Możliwość stosowania w myjkach ultradźwiękowych oraz myjkach półautomatycznych. Spektrum działania: B, F, Tbc – 0,5%/15 minut, V (Polio, Adeno, Noro) – 0,25%/15 minut. Możliwość poszerzenia spektrum o S – 1%/15 minut. Potwierdzona redukcja biofilmu bakteryjnego. Wyrób medyczny kl. II b</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2 L z kieliszkiem miarowym</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50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xml:space="preserve"> </w:t>
            </w:r>
          </w:p>
        </w:tc>
      </w:tr>
      <w:tr w:rsidR="00AE44C6" w:rsidRPr="00416E35" w:rsidTr="00AE44C6">
        <w:trPr>
          <w:trHeight w:val="289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20.</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 xml:space="preserve">Preparat w koncentracie na bazie kompleksu trójenzymatycznego (proteaza, lipaza, amylaza) oraz PHMB do mycia i dezynfekcji narzędzi medycznych w tym również endoskopów. Możliwość stosowania w myjkach ultradźwiękowych oraz myjkach półautomatycznych. Spektrum działania: B, F, Tbc – 0,5%/15 minut, V (Polio, Adeno, Noro) – 0,25%/15 minut. Możliwość poszerzenia spektrum o S – 1%/15 minut. Potwierdzona redukcja biofilmu bakteryjnego. Wyrób medyczny kl. II b. Opakowania: kanister 5l. </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40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xml:space="preserve"> </w:t>
            </w:r>
          </w:p>
        </w:tc>
      </w:tr>
      <w:tr w:rsidR="00AE44C6" w:rsidRPr="00416E35" w:rsidTr="00AE44C6">
        <w:trPr>
          <w:trHeight w:val="235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21.</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Preparat do mycia i dezynfekcji narzędzi, endoskopów i wyrobów medycznych, w postaci proszku, o wysokiej kompatybilności materiałowej, na bazie trzech enzymów, nadweglanu sodu, TAED. Spektrum bójcze w stężeniu 2%: B(w tym VRE, MRSA, A. baumani), F, Pratki, V, S (EN 17126) w czasie 10 min. Aktywność roztworu roboczego 24 h.  Możliwość kontroli aktywności roztworu za pomocą pasków testowych.</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2,5 kg</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10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r w:rsidRPr="00416E35">
              <w:rPr>
                <w:rFonts w:cs="Calibri"/>
                <w:b/>
                <w:bCs/>
                <w:sz w:val="20"/>
                <w:szCs w:val="20"/>
              </w:rPr>
              <w:t xml:space="preserve">  </w:t>
            </w:r>
          </w:p>
        </w:tc>
      </w:tr>
      <w:tr w:rsidR="00AE44C6" w:rsidRPr="00416E35" w:rsidTr="00AE44C6">
        <w:trPr>
          <w:trHeight w:val="426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22.</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Gotowy do użycia preparat do dezynfekcji oraz mycia powierzchni oraz nieinwazyjnych wyrobów medycznych. Na bazie mieszaniny związków amoniowych oraz alkoholu (10% etanol, 20% propanol), pozbawiony pochodnych fenolowych, nadtlenku wodoru, chloru. Przebadany zgodnie z EN, skuteczny w warunkach brudnych. Wykazujący aktywność bójczą : B (MRSA, VRE, A. baumannii, K. pneumoniae, S. typhimurium, L. pneumophila) F w czasie 1 minuty oraz Tbc (M. avium, terrae),V (HIV, HBV, HCV, Vaccinia) w czasie 5 minut, Przebadany zgodnie z EN 16615 w czasie 1 min.</w:t>
            </w:r>
            <w:r w:rsidRPr="00416E35">
              <w:rPr>
                <w:rFonts w:cs="Calibri"/>
                <w:sz w:val="20"/>
                <w:szCs w:val="20"/>
              </w:rPr>
              <w:br/>
              <w:t>Możliwość stosowania na oddziałach dziecięcych i do dezynfekcji inkubatorów. Wyposażony w spryskiwacz dwufunkcyjny Wyrób medyczny kl. IIa.</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1 L</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30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p>
        </w:tc>
      </w:tr>
      <w:tr w:rsidR="00AE44C6" w:rsidRPr="00416E35" w:rsidTr="00AE44C6">
        <w:trPr>
          <w:trHeight w:val="184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23.</w:t>
            </w:r>
          </w:p>
        </w:tc>
        <w:tc>
          <w:tcPr>
            <w:tcW w:w="1030"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rPr>
                <w:rFonts w:cs="Calibri"/>
                <w:sz w:val="20"/>
                <w:szCs w:val="20"/>
              </w:rPr>
            </w:pPr>
            <w:r w:rsidRPr="00416E35">
              <w:rPr>
                <w:rFonts w:cs="Calibri"/>
                <w:sz w:val="20"/>
                <w:szCs w:val="20"/>
              </w:rPr>
              <w:t>Roztwór do płukania, oczyszczania, przemywania i nawilżania ran ostrych, przewlekłych i oparzeń, zawierający polihexanid 0,1% i poloxamer188 1%. Bez dodatku betainy. Op. 250 ml</w:t>
            </w:r>
            <w:r w:rsidRPr="00416E35">
              <w:rPr>
                <w:rFonts w:cs="Calibri"/>
                <w:sz w:val="20"/>
                <w:szCs w:val="20"/>
              </w:rPr>
              <w:br/>
              <w:t xml:space="preserve"> </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250ml</w:t>
            </w:r>
            <w:r w:rsidRPr="00416E35">
              <w:rPr>
                <w:rFonts w:cs="Calibri"/>
                <w:sz w:val="20"/>
                <w:szCs w:val="20"/>
              </w:rPr>
              <w:br/>
            </w:r>
            <w:r w:rsidRPr="00416E35">
              <w:rPr>
                <w:rFonts w:cs="Calibri"/>
                <w:sz w:val="20"/>
                <w:szCs w:val="20"/>
              </w:rPr>
              <w:br/>
              <w:t>z atomizerem</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50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b/>
                <w:bCs/>
                <w:sz w:val="20"/>
                <w:szCs w:val="20"/>
              </w:rPr>
            </w:pPr>
          </w:p>
        </w:tc>
      </w:tr>
      <w:tr w:rsidR="00AE44C6" w:rsidRPr="00416E35" w:rsidTr="00AE44C6">
        <w:trPr>
          <w:trHeight w:val="138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24.</w:t>
            </w:r>
          </w:p>
        </w:tc>
        <w:tc>
          <w:tcPr>
            <w:tcW w:w="1030" w:type="pct"/>
            <w:tcBorders>
              <w:top w:val="nil"/>
              <w:left w:val="nil"/>
              <w:bottom w:val="nil"/>
              <w:right w:val="nil"/>
            </w:tcBorders>
            <w:shd w:val="clear" w:color="auto" w:fill="auto"/>
            <w:hideMark/>
          </w:tcPr>
          <w:p w:rsidR="00AE44C6" w:rsidRPr="00416E35" w:rsidRDefault="00AE44C6" w:rsidP="005C0120">
            <w:pPr>
              <w:rPr>
                <w:rFonts w:cs="Calibri"/>
                <w:sz w:val="20"/>
                <w:szCs w:val="20"/>
              </w:rPr>
            </w:pPr>
            <w:r w:rsidRPr="00416E35">
              <w:rPr>
                <w:rFonts w:cs="Calibri"/>
                <w:sz w:val="20"/>
                <w:szCs w:val="20"/>
              </w:rPr>
              <w:t>Roztwór do płukania, oczyszczania, przemywania i nawilżania ran ostrych, przewlekłych i oparzeń, zawierający polihexanid 0,1% i poloxamer188 1%. Bez dodatku betainy. Op. 500 ml</w:t>
            </w:r>
            <w:r w:rsidRPr="00416E35">
              <w:rPr>
                <w:rFonts w:cs="Calibri"/>
                <w:sz w:val="20"/>
                <w:szCs w:val="20"/>
              </w:rPr>
              <w:br/>
              <w:t xml:space="preserve"> </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op. 500 ml</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50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b/>
                <w:bCs/>
                <w:sz w:val="20"/>
                <w:szCs w:val="20"/>
              </w:rPr>
            </w:pPr>
          </w:p>
        </w:tc>
      </w:tr>
      <w:tr w:rsidR="00AE44C6" w:rsidRPr="00416E35" w:rsidTr="00AE44C6">
        <w:trPr>
          <w:trHeight w:val="130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25.</w:t>
            </w:r>
          </w:p>
        </w:tc>
        <w:tc>
          <w:tcPr>
            <w:tcW w:w="1030" w:type="pct"/>
            <w:tcBorders>
              <w:top w:val="single" w:sz="4" w:space="0" w:color="auto"/>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Hydrożel do leczenia ran ostrych, przewlekłych i oparzeń, zawierający 0,1% polihexanid i 1% poloxamer 188, bez zawartości betainy. Op.100 ml</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100 ml</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40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b/>
                <w:bCs/>
                <w:sz w:val="20"/>
                <w:szCs w:val="20"/>
              </w:rPr>
            </w:pPr>
          </w:p>
        </w:tc>
      </w:tr>
      <w:tr w:rsidR="00AE44C6" w:rsidRPr="00416E35" w:rsidTr="00AE44C6">
        <w:trPr>
          <w:trHeight w:val="259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26.</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Onkoemulsja do pielęgnacji skóry w trakcie terapii onkologicznej , na bazie ektoiny drobnocząsteczkowego kwasu hialuronowego i ceramidów. Łagodzi podrażnienia, wzmacnia procesy naprawcze skóry, Łagodzi rumień powstały w wyniku naświetlania, tworzy elastyczną, niewidoczną powłokę utrzymującą odpowiedni stopień nawodnienia skóry, zapobiegając transepidermalnej utracie wody, zmniejsza nieprzyjemne uczucie gorąca i pieczenia oraz mobilizuje skórę do regeneracji.Op.75 ml</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75 ml</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100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p>
        </w:tc>
      </w:tr>
      <w:tr w:rsidR="00AE44C6" w:rsidRPr="00416E35" w:rsidTr="00AE44C6">
        <w:trPr>
          <w:trHeight w:val="474"/>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27.</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Wydajny koncentrat przeznaczony do mycia i dezynfekcji dużych powierzchnie oraz nieinwazyjnych wyrobów medycznych. Na bazie związków amoniowych, pozbawiony pochodnych fenolowych, chloru, nadtlenku wodoru. Przebadany zgodnie z EN. Wykazujący aktywność bójczą na: B, F w czasie 5 minut i stężeniu 0,5% oraz Tbc (M. avium, terrae),V (Polio, Adeno, Noro) w czasie 15 minut i stężeniu 0,25%, Możliwość stosowania na oddziałach dziecięcych i w obecności pacjentów. Wyrób medyczny kl. IIa.</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 xml:space="preserve">op. 2 L </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15</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b/>
                <w:bCs/>
                <w:sz w:val="20"/>
                <w:szCs w:val="20"/>
              </w:rPr>
            </w:pPr>
          </w:p>
        </w:tc>
      </w:tr>
      <w:tr w:rsidR="00AE44C6" w:rsidRPr="00416E35" w:rsidTr="00AE44C6">
        <w:trPr>
          <w:trHeight w:val="289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28.</w:t>
            </w:r>
          </w:p>
        </w:tc>
        <w:tc>
          <w:tcPr>
            <w:tcW w:w="1030" w:type="pct"/>
            <w:tcBorders>
              <w:top w:val="nil"/>
              <w:left w:val="nil"/>
              <w:bottom w:val="single" w:sz="4" w:space="0" w:color="auto"/>
              <w:right w:val="single" w:sz="4" w:space="0" w:color="auto"/>
            </w:tcBorders>
            <w:shd w:val="clear" w:color="auto" w:fill="auto"/>
            <w:hideMark/>
          </w:tcPr>
          <w:p w:rsidR="00AE44C6" w:rsidRPr="00416E35" w:rsidRDefault="00AE44C6" w:rsidP="005C0120">
            <w:pPr>
              <w:rPr>
                <w:rFonts w:cs="Calibri"/>
                <w:sz w:val="20"/>
                <w:szCs w:val="20"/>
              </w:rPr>
            </w:pPr>
            <w:r w:rsidRPr="00416E35">
              <w:rPr>
                <w:rFonts w:cs="Calibri"/>
                <w:sz w:val="20"/>
                <w:szCs w:val="20"/>
              </w:rPr>
              <w:t>Wydajny koncentrat przeznaczony do mycia i dezynfekcji dużych powierzchnie oraz nieinwazyjnych wyrobów medycznych. Na bazie związków amoniowych, pozbawiony pochodnych fenolowych, chloru, nadtlenku wodoru. Przebadany zgodnie z EN. Wykazujący aktywność bójczą na: B, F w czasie 5 minut i stężeniu 0,5% oraz Tbc (M. avium, terrae),V (Polio, Adeno, Noro) w czasie 15 minut i stężeniu 0,25%, Możliwość stosowania na oddziałach dziecięcych i w obecności pacjentów. Wyrób medyczny kl. IIa.</w:t>
            </w:r>
          </w:p>
        </w:tc>
        <w:tc>
          <w:tcPr>
            <w:tcW w:w="553" w:type="pct"/>
            <w:tcBorders>
              <w:top w:val="nil"/>
              <w:left w:val="nil"/>
              <w:bottom w:val="single" w:sz="4" w:space="0" w:color="auto"/>
              <w:right w:val="single" w:sz="4" w:space="0" w:color="auto"/>
            </w:tcBorders>
            <w:shd w:val="clear" w:color="auto" w:fill="auto"/>
            <w:vAlign w:val="center"/>
            <w:hideMark/>
          </w:tcPr>
          <w:p w:rsidR="00AE44C6" w:rsidRPr="00416E35" w:rsidRDefault="00AE44C6" w:rsidP="005C0120">
            <w:pPr>
              <w:jc w:val="center"/>
              <w:rPr>
                <w:rFonts w:cs="Calibri"/>
                <w:sz w:val="20"/>
                <w:szCs w:val="20"/>
              </w:rPr>
            </w:pPr>
            <w:r w:rsidRPr="00416E35">
              <w:rPr>
                <w:rFonts w:cs="Calibri"/>
                <w:sz w:val="20"/>
                <w:szCs w:val="20"/>
              </w:rPr>
              <w:t>op. 5 L</w:t>
            </w:r>
          </w:p>
        </w:tc>
        <w:tc>
          <w:tcPr>
            <w:tcW w:w="251"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right"/>
              <w:rPr>
                <w:rFonts w:cs="Calibri"/>
                <w:sz w:val="20"/>
                <w:szCs w:val="20"/>
              </w:rPr>
            </w:pPr>
            <w:r w:rsidRPr="00416E35">
              <w:rPr>
                <w:rFonts w:cs="Calibri"/>
                <w:sz w:val="20"/>
                <w:szCs w:val="20"/>
              </w:rPr>
              <w:t>120</w:t>
            </w:r>
          </w:p>
        </w:tc>
        <w:tc>
          <w:tcPr>
            <w:tcW w:w="31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86"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271"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rPr>
                <w:rFonts w:cs="Calibri"/>
                <w:sz w:val="20"/>
                <w:szCs w:val="20"/>
              </w:rPr>
            </w:pPr>
          </w:p>
        </w:tc>
        <w:tc>
          <w:tcPr>
            <w:tcW w:w="274"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457" w:type="pct"/>
            <w:tcBorders>
              <w:top w:val="nil"/>
              <w:left w:val="nil"/>
              <w:bottom w:val="single" w:sz="4" w:space="0" w:color="auto"/>
              <w:right w:val="single" w:sz="4" w:space="0" w:color="auto"/>
            </w:tcBorders>
            <w:shd w:val="clear" w:color="auto" w:fill="auto"/>
            <w:noWrap/>
            <w:vAlign w:val="center"/>
          </w:tcPr>
          <w:p w:rsidR="00AE44C6" w:rsidRPr="00416E35" w:rsidRDefault="00AE44C6" w:rsidP="005C0120">
            <w:pPr>
              <w:jc w:val="right"/>
              <w:rPr>
                <w:rFonts w:cs="Calibri"/>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tcPr>
          <w:p w:rsidR="00AE44C6" w:rsidRPr="00416E35" w:rsidRDefault="00AE44C6" w:rsidP="005C0120">
            <w:pPr>
              <w:rPr>
                <w:rFonts w:cs="Calibri"/>
                <w:b/>
                <w:bCs/>
                <w:sz w:val="20"/>
                <w:szCs w:val="20"/>
              </w:rPr>
            </w:pPr>
          </w:p>
        </w:tc>
      </w:tr>
      <w:tr w:rsidR="00AE44C6" w:rsidRPr="00416E35" w:rsidTr="005C0120">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sz w:val="20"/>
                <w:szCs w:val="20"/>
              </w:rPr>
            </w:pPr>
            <w:r w:rsidRPr="00416E35">
              <w:rPr>
                <w:rFonts w:cs="Calibri"/>
                <w:sz w:val="20"/>
                <w:szCs w:val="20"/>
              </w:rPr>
              <w:t> </w:t>
            </w:r>
          </w:p>
        </w:tc>
        <w:tc>
          <w:tcPr>
            <w:tcW w:w="1030"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r w:rsidRPr="00416E35">
              <w:rPr>
                <w:rFonts w:cs="Calibri"/>
                <w:b/>
                <w:bCs/>
                <w:sz w:val="20"/>
                <w:szCs w:val="20"/>
              </w:rPr>
              <w:t>RAZEM</w:t>
            </w:r>
          </w:p>
        </w:tc>
        <w:tc>
          <w:tcPr>
            <w:tcW w:w="553" w:type="pct"/>
            <w:tcBorders>
              <w:top w:val="nil"/>
              <w:left w:val="nil"/>
              <w:bottom w:val="single" w:sz="4" w:space="0" w:color="auto"/>
              <w:right w:val="single" w:sz="4" w:space="0" w:color="auto"/>
            </w:tcBorders>
            <w:shd w:val="clear" w:color="auto" w:fill="auto"/>
            <w:noWrap/>
            <w:vAlign w:val="center"/>
            <w:hideMark/>
          </w:tcPr>
          <w:p w:rsidR="00AE44C6" w:rsidRPr="00416E35" w:rsidRDefault="00AE44C6" w:rsidP="005C0120">
            <w:pPr>
              <w:jc w:val="center"/>
              <w:rPr>
                <w:rFonts w:cs="Calibri"/>
                <w:b/>
                <w:bCs/>
                <w:sz w:val="20"/>
                <w:szCs w:val="20"/>
              </w:rPr>
            </w:pPr>
            <w:r w:rsidRPr="00416E35">
              <w:rPr>
                <w:rFonts w:cs="Calibri"/>
                <w:b/>
                <w:bCs/>
                <w:sz w:val="20"/>
                <w:szCs w:val="20"/>
              </w:rPr>
              <w:t> </w:t>
            </w:r>
          </w:p>
        </w:tc>
        <w:tc>
          <w:tcPr>
            <w:tcW w:w="251"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r w:rsidRPr="00416E35">
              <w:rPr>
                <w:rFonts w:cs="Calibri"/>
                <w:b/>
                <w:bCs/>
                <w:sz w:val="20"/>
                <w:szCs w:val="20"/>
              </w:rPr>
              <w:t> </w:t>
            </w:r>
          </w:p>
        </w:tc>
        <w:tc>
          <w:tcPr>
            <w:tcW w:w="316"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r w:rsidRPr="00416E35">
              <w:rPr>
                <w:rFonts w:cs="Calibri"/>
                <w:b/>
                <w:bCs/>
                <w:sz w:val="20"/>
                <w:szCs w:val="20"/>
              </w:rPr>
              <w:t> </w:t>
            </w:r>
          </w:p>
        </w:tc>
        <w:tc>
          <w:tcPr>
            <w:tcW w:w="486"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jc w:val="right"/>
              <w:rPr>
                <w:rFonts w:cs="Calibri"/>
                <w:b/>
                <w:bCs/>
                <w:sz w:val="20"/>
                <w:szCs w:val="20"/>
              </w:rPr>
            </w:pPr>
          </w:p>
        </w:tc>
        <w:tc>
          <w:tcPr>
            <w:tcW w:w="271"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r w:rsidRPr="00416E35">
              <w:rPr>
                <w:rFonts w:cs="Calibri"/>
                <w:b/>
                <w:bCs/>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b/>
                <w:bCs/>
                <w:sz w:val="20"/>
                <w:szCs w:val="20"/>
              </w:rPr>
            </w:pPr>
            <w:r w:rsidRPr="00416E35">
              <w:rPr>
                <w:rFonts w:cs="Calibri"/>
                <w:b/>
                <w:bCs/>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jc w:val="right"/>
              <w:rPr>
                <w:rFonts w:cs="Calibri"/>
                <w:b/>
                <w:bCs/>
                <w:sz w:val="20"/>
                <w:szCs w:val="20"/>
              </w:rPr>
            </w:pPr>
          </w:p>
        </w:tc>
        <w:tc>
          <w:tcPr>
            <w:tcW w:w="350"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AE44C6" w:rsidRPr="00416E35" w:rsidRDefault="00AE44C6" w:rsidP="005C0120">
            <w:pPr>
              <w:rPr>
                <w:rFonts w:cs="Calibri"/>
                <w:sz w:val="20"/>
                <w:szCs w:val="20"/>
              </w:rPr>
            </w:pPr>
            <w:r w:rsidRPr="00416E35">
              <w:rPr>
                <w:rFonts w:cs="Calibri"/>
                <w:sz w:val="20"/>
                <w:szCs w:val="20"/>
              </w:rPr>
              <w:t> </w:t>
            </w:r>
          </w:p>
        </w:tc>
      </w:tr>
      <w:tr w:rsidR="00AE44C6" w:rsidRPr="00416E35" w:rsidTr="005C0120">
        <w:trPr>
          <w:trHeight w:val="315"/>
        </w:trPr>
        <w:tc>
          <w:tcPr>
            <w:tcW w:w="195" w:type="pct"/>
            <w:tcBorders>
              <w:top w:val="nil"/>
              <w:left w:val="nil"/>
              <w:bottom w:val="nil"/>
              <w:right w:val="nil"/>
            </w:tcBorders>
            <w:shd w:val="clear" w:color="auto" w:fill="auto"/>
            <w:noWrap/>
            <w:vAlign w:val="center"/>
            <w:hideMark/>
          </w:tcPr>
          <w:p w:rsidR="00AE44C6" w:rsidRPr="00416E35" w:rsidRDefault="00AE44C6" w:rsidP="005C0120">
            <w:pPr>
              <w:rPr>
                <w:rFonts w:cs="Calibri"/>
                <w:sz w:val="20"/>
                <w:szCs w:val="20"/>
              </w:rPr>
            </w:pPr>
          </w:p>
        </w:tc>
        <w:tc>
          <w:tcPr>
            <w:tcW w:w="1030" w:type="pct"/>
            <w:tcBorders>
              <w:top w:val="nil"/>
              <w:left w:val="nil"/>
              <w:bottom w:val="nil"/>
              <w:right w:val="nil"/>
            </w:tcBorders>
            <w:shd w:val="clear" w:color="auto" w:fill="auto"/>
            <w:noWrap/>
            <w:vAlign w:val="bottom"/>
            <w:hideMark/>
          </w:tcPr>
          <w:p w:rsidR="00AE44C6" w:rsidRPr="00416E35" w:rsidRDefault="00AE44C6" w:rsidP="005C0120">
            <w:pPr>
              <w:jc w:val="center"/>
              <w:rPr>
                <w:rFonts w:cs="Calibri"/>
                <w:sz w:val="20"/>
                <w:szCs w:val="20"/>
              </w:rPr>
            </w:pPr>
          </w:p>
        </w:tc>
        <w:tc>
          <w:tcPr>
            <w:tcW w:w="553" w:type="pct"/>
            <w:tcBorders>
              <w:top w:val="nil"/>
              <w:left w:val="nil"/>
              <w:bottom w:val="nil"/>
              <w:right w:val="nil"/>
            </w:tcBorders>
            <w:shd w:val="clear" w:color="auto" w:fill="auto"/>
            <w:noWrap/>
            <w:vAlign w:val="center"/>
            <w:hideMark/>
          </w:tcPr>
          <w:p w:rsidR="00AE44C6" w:rsidRPr="00416E35" w:rsidRDefault="00AE44C6" w:rsidP="005C0120">
            <w:pPr>
              <w:rPr>
                <w:rFonts w:cs="Calibri"/>
                <w:sz w:val="20"/>
                <w:szCs w:val="20"/>
              </w:rPr>
            </w:pPr>
          </w:p>
        </w:tc>
        <w:tc>
          <w:tcPr>
            <w:tcW w:w="251" w:type="pct"/>
            <w:tcBorders>
              <w:top w:val="nil"/>
              <w:left w:val="nil"/>
              <w:bottom w:val="nil"/>
              <w:right w:val="nil"/>
            </w:tcBorders>
            <w:shd w:val="clear" w:color="auto" w:fill="auto"/>
            <w:noWrap/>
            <w:vAlign w:val="bottom"/>
            <w:hideMark/>
          </w:tcPr>
          <w:p w:rsidR="00AE44C6" w:rsidRPr="00416E35" w:rsidRDefault="00AE44C6" w:rsidP="005C0120">
            <w:pPr>
              <w:jc w:val="center"/>
              <w:rPr>
                <w:rFonts w:cs="Calibri"/>
                <w:sz w:val="20"/>
                <w:szCs w:val="20"/>
              </w:rPr>
            </w:pPr>
          </w:p>
        </w:tc>
        <w:tc>
          <w:tcPr>
            <w:tcW w:w="316"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486"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271"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274"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457"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350"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817"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r>
      <w:tr w:rsidR="00AE44C6" w:rsidRPr="00416E35" w:rsidTr="005C0120">
        <w:trPr>
          <w:trHeight w:val="315"/>
        </w:trPr>
        <w:tc>
          <w:tcPr>
            <w:tcW w:w="195" w:type="pct"/>
            <w:tcBorders>
              <w:top w:val="nil"/>
              <w:left w:val="nil"/>
              <w:bottom w:val="nil"/>
              <w:right w:val="nil"/>
            </w:tcBorders>
            <w:shd w:val="clear" w:color="auto" w:fill="auto"/>
            <w:noWrap/>
            <w:vAlign w:val="center"/>
            <w:hideMark/>
          </w:tcPr>
          <w:p w:rsidR="00AE44C6" w:rsidRPr="00416E35" w:rsidRDefault="00AE44C6" w:rsidP="005C0120">
            <w:pPr>
              <w:rPr>
                <w:rFonts w:cs="Calibri"/>
                <w:sz w:val="20"/>
                <w:szCs w:val="20"/>
              </w:rPr>
            </w:pPr>
          </w:p>
        </w:tc>
        <w:tc>
          <w:tcPr>
            <w:tcW w:w="1030" w:type="pct"/>
            <w:tcBorders>
              <w:top w:val="nil"/>
              <w:left w:val="nil"/>
              <w:bottom w:val="nil"/>
              <w:right w:val="nil"/>
            </w:tcBorders>
            <w:shd w:val="clear" w:color="auto" w:fill="auto"/>
            <w:noWrap/>
            <w:vAlign w:val="bottom"/>
            <w:hideMark/>
          </w:tcPr>
          <w:p w:rsidR="00AE44C6" w:rsidRPr="00416E35" w:rsidRDefault="00AE44C6" w:rsidP="005C0120">
            <w:pPr>
              <w:jc w:val="center"/>
              <w:rPr>
                <w:rFonts w:cs="Calibri"/>
                <w:sz w:val="20"/>
                <w:szCs w:val="20"/>
              </w:rPr>
            </w:pPr>
          </w:p>
        </w:tc>
        <w:tc>
          <w:tcPr>
            <w:tcW w:w="553" w:type="pct"/>
            <w:tcBorders>
              <w:top w:val="nil"/>
              <w:left w:val="nil"/>
              <w:bottom w:val="nil"/>
              <w:right w:val="nil"/>
            </w:tcBorders>
            <w:shd w:val="clear" w:color="auto" w:fill="auto"/>
            <w:noWrap/>
            <w:vAlign w:val="center"/>
            <w:hideMark/>
          </w:tcPr>
          <w:p w:rsidR="00AE44C6" w:rsidRPr="00416E35" w:rsidRDefault="00AE44C6" w:rsidP="005C0120">
            <w:pPr>
              <w:rPr>
                <w:rFonts w:cs="Calibri"/>
                <w:sz w:val="20"/>
                <w:szCs w:val="20"/>
              </w:rPr>
            </w:pPr>
          </w:p>
        </w:tc>
        <w:tc>
          <w:tcPr>
            <w:tcW w:w="251" w:type="pct"/>
            <w:tcBorders>
              <w:top w:val="nil"/>
              <w:left w:val="nil"/>
              <w:bottom w:val="nil"/>
              <w:right w:val="nil"/>
            </w:tcBorders>
            <w:shd w:val="clear" w:color="auto" w:fill="auto"/>
            <w:noWrap/>
            <w:vAlign w:val="bottom"/>
            <w:hideMark/>
          </w:tcPr>
          <w:p w:rsidR="00AE44C6" w:rsidRPr="00416E35" w:rsidRDefault="00AE44C6" w:rsidP="005C0120">
            <w:pPr>
              <w:jc w:val="center"/>
              <w:rPr>
                <w:rFonts w:cs="Calibri"/>
                <w:sz w:val="20"/>
                <w:szCs w:val="20"/>
              </w:rPr>
            </w:pPr>
          </w:p>
        </w:tc>
        <w:tc>
          <w:tcPr>
            <w:tcW w:w="316"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486"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271"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274"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457"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350"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c>
          <w:tcPr>
            <w:tcW w:w="817" w:type="pct"/>
            <w:tcBorders>
              <w:top w:val="nil"/>
              <w:left w:val="nil"/>
              <w:bottom w:val="nil"/>
              <w:right w:val="nil"/>
            </w:tcBorders>
            <w:shd w:val="clear" w:color="auto" w:fill="auto"/>
            <w:noWrap/>
            <w:vAlign w:val="bottom"/>
            <w:hideMark/>
          </w:tcPr>
          <w:p w:rsidR="00AE44C6" w:rsidRPr="00416E35" w:rsidRDefault="00AE44C6" w:rsidP="005C0120">
            <w:pPr>
              <w:rPr>
                <w:rFonts w:cs="Calibri"/>
                <w:sz w:val="20"/>
                <w:szCs w:val="20"/>
              </w:rPr>
            </w:pPr>
          </w:p>
        </w:tc>
      </w:tr>
    </w:tbl>
    <w:p w:rsidR="00AE44C6" w:rsidRPr="00AE44C6" w:rsidRDefault="00AE44C6" w:rsidP="00AE44C6">
      <w:pPr>
        <w:rPr>
          <w:bCs/>
        </w:rPr>
      </w:pPr>
      <w:r w:rsidRPr="00AE44C6">
        <w:rPr>
          <w:bCs/>
        </w:rPr>
        <w:t>Termin dostawy: ………………. dni.(max. 48 godzin)</w:t>
      </w:r>
    </w:p>
    <w:p w:rsidR="00AE44C6" w:rsidRDefault="00AE44C6" w:rsidP="00AE44C6">
      <w:pPr>
        <w:rPr>
          <w:b/>
        </w:rPr>
      </w:pPr>
    </w:p>
    <w:p w:rsidR="00AE44C6" w:rsidRPr="00AE44C6" w:rsidRDefault="00AE44C6" w:rsidP="00AE44C6">
      <w:pPr>
        <w:rPr>
          <w:b/>
        </w:rPr>
      </w:pPr>
      <w:r w:rsidRPr="00AE44C6">
        <w:rPr>
          <w:b/>
        </w:rPr>
        <w:t>Osoba/y upoważniona/e do kontaktu:</w:t>
      </w:r>
    </w:p>
    <w:p w:rsidR="00AE44C6" w:rsidRPr="00AE44C6" w:rsidRDefault="00AE44C6" w:rsidP="00AE44C6">
      <w:pPr>
        <w:rPr>
          <w:bCs/>
        </w:rPr>
      </w:pPr>
      <w:r w:rsidRPr="00AE44C6">
        <w:rPr>
          <w:bCs/>
        </w:rPr>
        <w:t>……………………………………</w:t>
      </w:r>
    </w:p>
    <w:p w:rsidR="00AE44C6" w:rsidRPr="00AE44C6" w:rsidRDefault="00AE44C6" w:rsidP="00AE44C6">
      <w:pPr>
        <w:rPr>
          <w:bCs/>
        </w:rPr>
      </w:pPr>
      <w:r w:rsidRPr="00AE44C6">
        <w:rPr>
          <w:bCs/>
        </w:rPr>
        <w:t>Nr tel. …………………………….</w:t>
      </w:r>
    </w:p>
    <w:p w:rsidR="00AE44C6" w:rsidRPr="00AE44C6" w:rsidRDefault="00AE44C6" w:rsidP="00AE44C6">
      <w:pPr>
        <w:rPr>
          <w:bCs/>
        </w:rPr>
      </w:pPr>
      <w:r w:rsidRPr="00AE44C6">
        <w:rPr>
          <w:bCs/>
        </w:rPr>
        <w:t>Nr fax…………………………….</w:t>
      </w:r>
    </w:p>
    <w:p w:rsidR="00AE44C6" w:rsidRPr="00AE44C6" w:rsidRDefault="00AE44C6" w:rsidP="00AE44C6">
      <w:pPr>
        <w:rPr>
          <w:bCs/>
        </w:rPr>
      </w:pPr>
      <w:r w:rsidRPr="00AE44C6">
        <w:rPr>
          <w:bCs/>
        </w:rPr>
        <w:t>mail ………………..…………….</w:t>
      </w:r>
    </w:p>
    <w:p w:rsidR="00AE44C6" w:rsidRPr="00AE44C6" w:rsidRDefault="00AE44C6" w:rsidP="00AE44C6">
      <w:pPr>
        <w:rPr>
          <w:bCs/>
        </w:rPr>
      </w:pPr>
    </w:p>
    <w:p w:rsidR="00AE44C6" w:rsidRPr="00AE44C6" w:rsidRDefault="00AE44C6" w:rsidP="00AE44C6">
      <w:pPr>
        <w:rPr>
          <w:bCs/>
        </w:rPr>
      </w:pPr>
      <w:r w:rsidRPr="00AE44C6">
        <w:rPr>
          <w:bCs/>
        </w:rPr>
        <w:t xml:space="preserve">                                                                                                                                                                         …………………………………………</w:t>
      </w:r>
    </w:p>
    <w:p w:rsidR="00AE44C6" w:rsidRPr="00AE44C6" w:rsidRDefault="00AE44C6" w:rsidP="00AE44C6">
      <w:pPr>
        <w:rPr>
          <w:bCs/>
          <w:i/>
        </w:rPr>
      </w:pPr>
      <w:r w:rsidRPr="00AE44C6">
        <w:rPr>
          <w:bCs/>
          <w:i/>
        </w:rPr>
        <w:t xml:space="preserve">                                                                                                                                                                                                    (podpis)</w:t>
      </w:r>
    </w:p>
    <w:p w:rsidR="00AE44C6" w:rsidRDefault="00AE44C6" w:rsidP="00AE44C6"/>
    <w:p w:rsidR="00AE44C6" w:rsidRDefault="00AE44C6" w:rsidP="00AE44C6"/>
    <w:p w:rsidR="00AE44C6" w:rsidRDefault="00AE44C6" w:rsidP="00AE44C6"/>
    <w:p w:rsidR="00AE44C6" w:rsidRPr="00A407F6" w:rsidRDefault="00AE44C6" w:rsidP="00AE44C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E44C6" w:rsidRPr="00A407F6" w:rsidRDefault="00AE44C6" w:rsidP="00AE44C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E44C6" w:rsidRPr="00A407F6" w:rsidRDefault="00AE44C6" w:rsidP="00AE44C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E44C6" w:rsidRPr="00A407F6" w:rsidRDefault="00AE44C6" w:rsidP="00AE44C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E44C6" w:rsidRPr="00A407F6" w:rsidRDefault="00AE44C6" w:rsidP="00AE44C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E44C6" w:rsidRPr="00A407F6" w:rsidRDefault="00AE44C6" w:rsidP="00AE44C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AE44C6" w:rsidRPr="009519DD" w:rsidRDefault="00AE44C6" w:rsidP="00AE44C6">
      <w:pPr>
        <w:tabs>
          <w:tab w:val="left" w:pos="9072"/>
        </w:tabs>
        <w:spacing w:line="480" w:lineRule="auto"/>
        <w:jc w:val="both"/>
        <w:rPr>
          <w:rFonts w:ascii="Cambria" w:hAnsi="Cambria" w:cs="Arial"/>
          <w:b/>
          <w:bCs/>
          <w:sz w:val="20"/>
          <w:szCs w:val="20"/>
          <w:u w:val="single"/>
        </w:rPr>
      </w:pPr>
      <w:r w:rsidRPr="009519DD">
        <w:rPr>
          <w:rFonts w:ascii="Cambria" w:hAnsi="Cambria" w:cs="Arial"/>
          <w:b/>
          <w:bCs/>
          <w:sz w:val="20"/>
          <w:szCs w:val="20"/>
        </w:rPr>
        <w:t xml:space="preserve">                                                                                                                                 </w:t>
      </w:r>
      <w:r w:rsidRPr="009519DD">
        <w:rPr>
          <w:rFonts w:ascii="Cambria" w:hAnsi="Cambria" w:cs="Arial"/>
          <w:b/>
          <w:bCs/>
          <w:sz w:val="20"/>
          <w:szCs w:val="20"/>
          <w:u w:val="single"/>
        </w:rPr>
        <w:t xml:space="preserve">O F E R T A </w:t>
      </w:r>
      <w:r>
        <w:rPr>
          <w:rFonts w:ascii="Cambria" w:hAnsi="Cambria" w:cs="Arial"/>
          <w:b/>
          <w:bCs/>
          <w:sz w:val="20"/>
          <w:szCs w:val="20"/>
          <w:u w:val="single"/>
        </w:rPr>
        <w:t>–zadanie 3</w:t>
      </w:r>
    </w:p>
    <w:p w:rsidR="00AE44C6" w:rsidRDefault="00AE44C6" w:rsidP="00AE44C6">
      <w:pPr>
        <w:tabs>
          <w:tab w:val="left" w:pos="9072"/>
        </w:tabs>
        <w:spacing w:line="480" w:lineRule="auto"/>
        <w:jc w:val="both"/>
        <w:rPr>
          <w:rFonts w:ascii="Cambria" w:hAnsi="Cambria" w:cs="Arial"/>
          <w:bCs/>
          <w:sz w:val="20"/>
          <w:szCs w:val="20"/>
        </w:rPr>
      </w:pPr>
    </w:p>
    <w:p w:rsidR="00AE44C6" w:rsidRDefault="00AE44C6" w:rsidP="00AE44C6">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odpowiedzi na ogłoszenie dotyczące  udzielenia zamówienia public</w:t>
      </w:r>
      <w:r>
        <w:rPr>
          <w:rFonts w:ascii="Cambria" w:hAnsi="Cambria" w:cs="Arial"/>
          <w:bCs/>
          <w:sz w:val="20"/>
          <w:szCs w:val="20"/>
        </w:rPr>
        <w:t xml:space="preserve">znego na dostawy środków dezynfekcyjnych </w:t>
      </w:r>
      <w:r w:rsidRPr="009519DD">
        <w:rPr>
          <w:rFonts w:ascii="Cambria" w:hAnsi="Cambria" w:cs="Arial"/>
          <w:bCs/>
          <w:sz w:val="20"/>
          <w:szCs w:val="20"/>
        </w:rPr>
        <w:t>dla Szpitala Specjalistycznego w Brzozowie Podkarpackiego Ośrodka Onkologicznego im. Ks. B. Markiewicza, z</w:t>
      </w:r>
      <w:r>
        <w:rPr>
          <w:rFonts w:ascii="Cambria" w:hAnsi="Cambria" w:cs="Arial"/>
          <w:bCs/>
          <w:sz w:val="20"/>
          <w:szCs w:val="20"/>
        </w:rPr>
        <w:t>nak sprawy SZSPOO.SZPiGM. 3810/51/2022</w:t>
      </w:r>
      <w:r w:rsidRPr="009519DD">
        <w:rPr>
          <w:rFonts w:ascii="Cambria" w:hAnsi="Cambria" w:cs="Arial"/>
          <w:bCs/>
          <w:sz w:val="20"/>
          <w:szCs w:val="20"/>
        </w:rPr>
        <w:t>, przedstawiamy następującą ofertę:</w:t>
      </w:r>
    </w:p>
    <w:tbl>
      <w:tblPr>
        <w:tblW w:w="5000" w:type="pct"/>
        <w:tblLayout w:type="fixed"/>
        <w:tblCellMar>
          <w:left w:w="70" w:type="dxa"/>
          <w:right w:w="70" w:type="dxa"/>
        </w:tblCellMar>
        <w:tblLook w:val="04A0" w:firstRow="1" w:lastRow="0" w:firstColumn="1" w:lastColumn="0" w:noHBand="0" w:noVBand="1"/>
      </w:tblPr>
      <w:tblGrid>
        <w:gridCol w:w="3333"/>
        <w:gridCol w:w="923"/>
        <w:gridCol w:w="829"/>
        <w:gridCol w:w="846"/>
        <w:gridCol w:w="1300"/>
        <w:gridCol w:w="974"/>
        <w:gridCol w:w="1240"/>
        <w:gridCol w:w="1363"/>
        <w:gridCol w:w="1060"/>
        <w:gridCol w:w="2417"/>
      </w:tblGrid>
      <w:tr w:rsidR="00AE44C6" w:rsidRPr="00B801E0" w:rsidTr="005C0120">
        <w:trPr>
          <w:trHeight w:val="780"/>
        </w:trPr>
        <w:tc>
          <w:tcPr>
            <w:tcW w:w="1167" w:type="pct"/>
            <w:tcBorders>
              <w:top w:val="nil"/>
              <w:left w:val="nil"/>
              <w:bottom w:val="nil"/>
              <w:right w:val="nil"/>
            </w:tcBorders>
            <w:shd w:val="clear" w:color="auto" w:fill="auto"/>
            <w:vAlign w:val="bottom"/>
            <w:hideMark/>
          </w:tcPr>
          <w:p w:rsidR="00AE44C6" w:rsidRPr="00B801E0" w:rsidRDefault="00AE44C6" w:rsidP="005C0120">
            <w:pPr>
              <w:rPr>
                <w:rFonts w:cs="Calibri"/>
                <w:b/>
                <w:bCs/>
                <w:sz w:val="20"/>
                <w:szCs w:val="20"/>
              </w:rPr>
            </w:pPr>
            <w:r>
              <w:rPr>
                <w:rFonts w:cs="Calibri"/>
                <w:b/>
                <w:bCs/>
                <w:sz w:val="20"/>
                <w:szCs w:val="20"/>
              </w:rPr>
              <w:t>Z</w:t>
            </w:r>
            <w:r w:rsidRPr="00B801E0">
              <w:rPr>
                <w:rFonts w:cs="Calibri"/>
                <w:b/>
                <w:bCs/>
                <w:sz w:val="20"/>
                <w:szCs w:val="20"/>
              </w:rPr>
              <w:t xml:space="preserve">adanie  nr 3 </w:t>
            </w:r>
          </w:p>
        </w:tc>
        <w:tc>
          <w:tcPr>
            <w:tcW w:w="323" w:type="pct"/>
            <w:tcBorders>
              <w:top w:val="nil"/>
              <w:left w:val="nil"/>
              <w:bottom w:val="nil"/>
              <w:right w:val="nil"/>
            </w:tcBorders>
            <w:shd w:val="clear" w:color="auto" w:fill="auto"/>
            <w:noWrap/>
            <w:vAlign w:val="center"/>
            <w:hideMark/>
          </w:tcPr>
          <w:p w:rsidR="00AE44C6" w:rsidRPr="00B801E0" w:rsidRDefault="00AE44C6" w:rsidP="005C0120">
            <w:pPr>
              <w:rPr>
                <w:rFonts w:cs="Calibri"/>
                <w:b/>
                <w:bCs/>
                <w:sz w:val="20"/>
                <w:szCs w:val="20"/>
              </w:rPr>
            </w:pPr>
          </w:p>
        </w:tc>
        <w:tc>
          <w:tcPr>
            <w:tcW w:w="290" w:type="pct"/>
            <w:tcBorders>
              <w:top w:val="nil"/>
              <w:left w:val="nil"/>
              <w:bottom w:val="nil"/>
              <w:right w:val="nil"/>
            </w:tcBorders>
            <w:shd w:val="clear" w:color="auto" w:fill="auto"/>
            <w:noWrap/>
            <w:vAlign w:val="bottom"/>
            <w:hideMark/>
          </w:tcPr>
          <w:p w:rsidR="00AE44C6" w:rsidRPr="00B801E0" w:rsidRDefault="00AE44C6" w:rsidP="005C0120">
            <w:pPr>
              <w:jc w:val="center"/>
              <w:rPr>
                <w:rFonts w:cs="Calibri"/>
                <w:sz w:val="20"/>
                <w:szCs w:val="20"/>
              </w:rPr>
            </w:pPr>
          </w:p>
        </w:tc>
        <w:tc>
          <w:tcPr>
            <w:tcW w:w="296" w:type="pct"/>
            <w:tcBorders>
              <w:top w:val="nil"/>
              <w:left w:val="nil"/>
              <w:bottom w:val="nil"/>
              <w:right w:val="nil"/>
            </w:tcBorders>
            <w:shd w:val="clear" w:color="auto" w:fill="auto"/>
            <w:noWrap/>
            <w:vAlign w:val="center"/>
            <w:hideMark/>
          </w:tcPr>
          <w:p w:rsidR="00AE44C6" w:rsidRPr="00B801E0" w:rsidRDefault="00AE44C6" w:rsidP="005C0120">
            <w:pPr>
              <w:rPr>
                <w:rFonts w:cs="Calibri"/>
                <w:sz w:val="20"/>
                <w:szCs w:val="20"/>
              </w:rPr>
            </w:pPr>
          </w:p>
        </w:tc>
        <w:tc>
          <w:tcPr>
            <w:tcW w:w="455" w:type="pct"/>
            <w:tcBorders>
              <w:top w:val="nil"/>
              <w:left w:val="nil"/>
              <w:bottom w:val="nil"/>
              <w:right w:val="nil"/>
            </w:tcBorders>
            <w:shd w:val="clear" w:color="auto" w:fill="auto"/>
            <w:noWrap/>
            <w:vAlign w:val="bottom"/>
            <w:hideMark/>
          </w:tcPr>
          <w:p w:rsidR="00AE44C6" w:rsidRPr="00B801E0" w:rsidRDefault="00AE44C6" w:rsidP="005C0120">
            <w:pPr>
              <w:jc w:val="center"/>
              <w:rPr>
                <w:rFonts w:cs="Calibri"/>
                <w:sz w:val="20"/>
                <w:szCs w:val="20"/>
              </w:rPr>
            </w:pPr>
          </w:p>
        </w:tc>
        <w:tc>
          <w:tcPr>
            <w:tcW w:w="341"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434"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477"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371"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846"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r>
      <w:tr w:rsidR="00AE44C6" w:rsidRPr="00B801E0" w:rsidTr="005C0120">
        <w:trPr>
          <w:trHeight w:val="450"/>
        </w:trPr>
        <w:tc>
          <w:tcPr>
            <w:tcW w:w="1167" w:type="pct"/>
            <w:tcBorders>
              <w:top w:val="nil"/>
              <w:left w:val="nil"/>
              <w:bottom w:val="nil"/>
              <w:right w:val="nil"/>
            </w:tcBorders>
            <w:shd w:val="clear" w:color="auto" w:fill="auto"/>
            <w:noWrap/>
            <w:hideMark/>
          </w:tcPr>
          <w:p w:rsidR="00AE44C6" w:rsidRPr="00B801E0" w:rsidRDefault="00AE44C6" w:rsidP="005C0120">
            <w:pPr>
              <w:rPr>
                <w:rFonts w:cs="Calibri"/>
                <w:sz w:val="20"/>
                <w:szCs w:val="20"/>
              </w:rPr>
            </w:pPr>
          </w:p>
        </w:tc>
        <w:tc>
          <w:tcPr>
            <w:tcW w:w="323" w:type="pct"/>
            <w:tcBorders>
              <w:top w:val="nil"/>
              <w:left w:val="nil"/>
              <w:bottom w:val="nil"/>
              <w:right w:val="nil"/>
            </w:tcBorders>
            <w:shd w:val="clear" w:color="auto" w:fill="auto"/>
            <w:vAlign w:val="bottom"/>
            <w:hideMark/>
          </w:tcPr>
          <w:p w:rsidR="00AE44C6" w:rsidRPr="00B801E0" w:rsidRDefault="00AE44C6" w:rsidP="005C0120">
            <w:pPr>
              <w:rPr>
                <w:rFonts w:cs="Calibri"/>
                <w:sz w:val="20"/>
                <w:szCs w:val="20"/>
              </w:rPr>
            </w:pPr>
          </w:p>
        </w:tc>
        <w:tc>
          <w:tcPr>
            <w:tcW w:w="290"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296" w:type="pct"/>
            <w:tcBorders>
              <w:top w:val="nil"/>
              <w:left w:val="nil"/>
              <w:bottom w:val="nil"/>
              <w:right w:val="nil"/>
            </w:tcBorders>
            <w:shd w:val="clear" w:color="auto" w:fill="auto"/>
            <w:noWrap/>
            <w:vAlign w:val="center"/>
            <w:hideMark/>
          </w:tcPr>
          <w:p w:rsidR="00AE44C6" w:rsidRPr="00B801E0" w:rsidRDefault="00AE44C6" w:rsidP="005C0120">
            <w:pPr>
              <w:rPr>
                <w:rFonts w:cs="Calibri"/>
                <w:sz w:val="20"/>
                <w:szCs w:val="20"/>
              </w:rPr>
            </w:pPr>
          </w:p>
        </w:tc>
        <w:tc>
          <w:tcPr>
            <w:tcW w:w="455" w:type="pct"/>
            <w:tcBorders>
              <w:top w:val="nil"/>
              <w:left w:val="nil"/>
              <w:bottom w:val="nil"/>
              <w:right w:val="nil"/>
            </w:tcBorders>
            <w:shd w:val="clear" w:color="auto" w:fill="auto"/>
            <w:noWrap/>
            <w:vAlign w:val="bottom"/>
            <w:hideMark/>
          </w:tcPr>
          <w:p w:rsidR="00AE44C6" w:rsidRPr="00B801E0" w:rsidRDefault="00AE44C6" w:rsidP="005C0120">
            <w:pPr>
              <w:jc w:val="center"/>
              <w:rPr>
                <w:rFonts w:cs="Calibri"/>
                <w:sz w:val="20"/>
                <w:szCs w:val="20"/>
              </w:rPr>
            </w:pPr>
          </w:p>
        </w:tc>
        <w:tc>
          <w:tcPr>
            <w:tcW w:w="341"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434"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477"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371"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c>
          <w:tcPr>
            <w:tcW w:w="846" w:type="pct"/>
            <w:tcBorders>
              <w:top w:val="nil"/>
              <w:left w:val="nil"/>
              <w:bottom w:val="nil"/>
              <w:right w:val="nil"/>
            </w:tcBorders>
            <w:shd w:val="clear" w:color="auto" w:fill="auto"/>
            <w:noWrap/>
            <w:vAlign w:val="bottom"/>
            <w:hideMark/>
          </w:tcPr>
          <w:p w:rsidR="00AE44C6" w:rsidRPr="00B801E0" w:rsidRDefault="00AE44C6" w:rsidP="005C0120">
            <w:pPr>
              <w:rPr>
                <w:rFonts w:cs="Calibri"/>
                <w:sz w:val="20"/>
                <w:szCs w:val="20"/>
              </w:rPr>
            </w:pPr>
          </w:p>
        </w:tc>
      </w:tr>
      <w:tr w:rsidR="00AE44C6" w:rsidRPr="00B801E0" w:rsidTr="005C0120">
        <w:trPr>
          <w:trHeight w:val="1440"/>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b/>
                <w:bCs/>
                <w:sz w:val="20"/>
                <w:szCs w:val="20"/>
              </w:rPr>
            </w:pPr>
            <w:r w:rsidRPr="00B801E0">
              <w:rPr>
                <w:rFonts w:cs="Calibri"/>
                <w:b/>
                <w:bCs/>
                <w:sz w:val="20"/>
                <w:szCs w:val="20"/>
              </w:rPr>
              <w:t>Nazwa postać</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b/>
                <w:bCs/>
                <w:sz w:val="20"/>
                <w:szCs w:val="20"/>
              </w:rPr>
            </w:pPr>
            <w:r w:rsidRPr="00B801E0">
              <w:rPr>
                <w:rFonts w:cs="Calibri"/>
                <w:b/>
                <w:bCs/>
                <w:sz w:val="20"/>
                <w:szCs w:val="20"/>
              </w:rPr>
              <w:t>j.m.</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Ilość</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C.j.netto</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b/>
                <w:bCs/>
                <w:sz w:val="20"/>
                <w:szCs w:val="20"/>
              </w:rPr>
            </w:pPr>
            <w:r w:rsidRPr="00B801E0">
              <w:rPr>
                <w:rFonts w:cs="Calibri"/>
                <w:b/>
                <w:bCs/>
                <w:sz w:val="20"/>
                <w:szCs w:val="20"/>
              </w:rPr>
              <w:t xml:space="preserve">Wartość </w:t>
            </w:r>
            <w:r w:rsidRPr="00B801E0">
              <w:rPr>
                <w:rFonts w:cs="Calibri"/>
                <w:b/>
                <w:bCs/>
                <w:sz w:val="20"/>
                <w:szCs w:val="20"/>
              </w:rPr>
              <w:br/>
              <w:t>netto</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b/>
                <w:bCs/>
                <w:sz w:val="20"/>
                <w:szCs w:val="20"/>
              </w:rPr>
            </w:pPr>
            <w:r w:rsidRPr="00B801E0">
              <w:rPr>
                <w:rFonts w:cs="Calibri"/>
                <w:b/>
                <w:bCs/>
                <w:sz w:val="20"/>
                <w:szCs w:val="20"/>
              </w:rPr>
              <w:t xml:space="preserve">Stawka </w:t>
            </w:r>
            <w:r w:rsidRPr="00B801E0">
              <w:rPr>
                <w:rFonts w:cs="Calibri"/>
                <w:b/>
                <w:bCs/>
                <w:sz w:val="20"/>
                <w:szCs w:val="20"/>
              </w:rPr>
              <w:br/>
              <w:t xml:space="preserve">podatku </w:t>
            </w:r>
            <w:r w:rsidRPr="00B801E0">
              <w:rPr>
                <w:rFonts w:cs="Calibri"/>
                <w:b/>
                <w:bCs/>
                <w:sz w:val="20"/>
                <w:szCs w:val="20"/>
              </w:rPr>
              <w:br/>
              <w:t>VAT %</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C.j. brutto</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b/>
                <w:bCs/>
                <w:sz w:val="20"/>
                <w:szCs w:val="20"/>
              </w:rPr>
            </w:pPr>
            <w:r w:rsidRPr="00B801E0">
              <w:rPr>
                <w:rFonts w:cs="Calibri"/>
                <w:b/>
                <w:bCs/>
                <w:sz w:val="20"/>
                <w:szCs w:val="20"/>
              </w:rPr>
              <w:t xml:space="preserve">Wartość </w:t>
            </w:r>
            <w:r w:rsidRPr="00B801E0">
              <w:rPr>
                <w:rFonts w:cs="Calibri"/>
                <w:b/>
                <w:bCs/>
                <w:sz w:val="20"/>
                <w:szCs w:val="20"/>
              </w:rPr>
              <w:br/>
              <w:t>brutto</w:t>
            </w:r>
            <w:r w:rsidRPr="00B801E0">
              <w:rPr>
                <w:rFonts w:cs="Calibri"/>
                <w:b/>
                <w:bCs/>
                <w:sz w:val="20"/>
                <w:szCs w:val="20"/>
              </w:rPr>
              <w:br/>
              <w:t>(wartość netto + VAT)</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b/>
                <w:bCs/>
                <w:sz w:val="20"/>
                <w:szCs w:val="20"/>
              </w:rPr>
            </w:pPr>
            <w:r w:rsidRPr="00B801E0">
              <w:rPr>
                <w:rFonts w:cs="Calibri"/>
                <w:b/>
                <w:bCs/>
                <w:sz w:val="20"/>
                <w:szCs w:val="20"/>
              </w:rPr>
              <w:t>Nazwa handlowa</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Producent , Kod EAN</w:t>
            </w:r>
          </w:p>
        </w:tc>
      </w:tr>
      <w:tr w:rsidR="00AE44C6" w:rsidRPr="00B801E0" w:rsidTr="005C0120">
        <w:trPr>
          <w:trHeight w:val="420"/>
        </w:trPr>
        <w:tc>
          <w:tcPr>
            <w:tcW w:w="1167" w:type="pct"/>
            <w:tcBorders>
              <w:top w:val="nil"/>
              <w:left w:val="single" w:sz="4" w:space="0" w:color="auto"/>
              <w:bottom w:val="nil"/>
              <w:right w:val="single" w:sz="4" w:space="0" w:color="auto"/>
            </w:tcBorders>
            <w:shd w:val="clear" w:color="auto" w:fill="auto"/>
            <w:vAlign w:val="bottom"/>
            <w:hideMark/>
          </w:tcPr>
          <w:p w:rsidR="00AE44C6" w:rsidRPr="00B801E0" w:rsidRDefault="00AE44C6" w:rsidP="005C0120">
            <w:pPr>
              <w:jc w:val="center"/>
              <w:rPr>
                <w:rFonts w:cs="Calibri"/>
                <w:b/>
                <w:bCs/>
                <w:sz w:val="20"/>
                <w:szCs w:val="20"/>
              </w:rPr>
            </w:pPr>
            <w:r w:rsidRPr="00B801E0">
              <w:rPr>
                <w:rFonts w:cs="Calibri"/>
                <w:b/>
                <w:bCs/>
                <w:sz w:val="20"/>
                <w:szCs w:val="20"/>
              </w:rPr>
              <w:t>2</w:t>
            </w:r>
          </w:p>
        </w:tc>
        <w:tc>
          <w:tcPr>
            <w:tcW w:w="323" w:type="pct"/>
            <w:tcBorders>
              <w:top w:val="nil"/>
              <w:left w:val="nil"/>
              <w:bottom w:val="nil"/>
              <w:right w:val="single" w:sz="4" w:space="0" w:color="auto"/>
            </w:tcBorders>
            <w:shd w:val="clear" w:color="auto" w:fill="auto"/>
            <w:vAlign w:val="center"/>
            <w:hideMark/>
          </w:tcPr>
          <w:p w:rsidR="00AE44C6" w:rsidRPr="00B801E0" w:rsidRDefault="00AE44C6" w:rsidP="005C0120">
            <w:pPr>
              <w:jc w:val="center"/>
              <w:rPr>
                <w:rFonts w:cs="Calibri"/>
                <w:b/>
                <w:bCs/>
                <w:sz w:val="20"/>
                <w:szCs w:val="20"/>
              </w:rPr>
            </w:pPr>
            <w:r w:rsidRPr="00B801E0">
              <w:rPr>
                <w:rFonts w:cs="Calibri"/>
                <w:b/>
                <w:bCs/>
                <w:sz w:val="20"/>
                <w:szCs w:val="20"/>
              </w:rPr>
              <w:t>3</w:t>
            </w:r>
          </w:p>
        </w:tc>
        <w:tc>
          <w:tcPr>
            <w:tcW w:w="290" w:type="pct"/>
            <w:tcBorders>
              <w:top w:val="nil"/>
              <w:left w:val="nil"/>
              <w:bottom w:val="nil"/>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4</w:t>
            </w:r>
          </w:p>
        </w:tc>
        <w:tc>
          <w:tcPr>
            <w:tcW w:w="296" w:type="pct"/>
            <w:tcBorders>
              <w:top w:val="nil"/>
              <w:left w:val="nil"/>
              <w:bottom w:val="nil"/>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5</w:t>
            </w:r>
          </w:p>
        </w:tc>
        <w:tc>
          <w:tcPr>
            <w:tcW w:w="455" w:type="pct"/>
            <w:tcBorders>
              <w:top w:val="nil"/>
              <w:left w:val="nil"/>
              <w:bottom w:val="nil"/>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6</w:t>
            </w:r>
          </w:p>
        </w:tc>
        <w:tc>
          <w:tcPr>
            <w:tcW w:w="341" w:type="pct"/>
            <w:tcBorders>
              <w:top w:val="nil"/>
              <w:left w:val="nil"/>
              <w:bottom w:val="nil"/>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7</w:t>
            </w:r>
          </w:p>
        </w:tc>
        <w:tc>
          <w:tcPr>
            <w:tcW w:w="434" w:type="pct"/>
            <w:tcBorders>
              <w:top w:val="nil"/>
              <w:left w:val="nil"/>
              <w:bottom w:val="nil"/>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8</w:t>
            </w:r>
          </w:p>
        </w:tc>
        <w:tc>
          <w:tcPr>
            <w:tcW w:w="477" w:type="pct"/>
            <w:tcBorders>
              <w:top w:val="nil"/>
              <w:left w:val="nil"/>
              <w:bottom w:val="nil"/>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9</w:t>
            </w:r>
          </w:p>
        </w:tc>
        <w:tc>
          <w:tcPr>
            <w:tcW w:w="371" w:type="pct"/>
            <w:tcBorders>
              <w:top w:val="nil"/>
              <w:left w:val="nil"/>
              <w:bottom w:val="nil"/>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10</w:t>
            </w:r>
          </w:p>
        </w:tc>
        <w:tc>
          <w:tcPr>
            <w:tcW w:w="846" w:type="pct"/>
            <w:tcBorders>
              <w:top w:val="nil"/>
              <w:left w:val="nil"/>
              <w:bottom w:val="nil"/>
              <w:right w:val="single" w:sz="8"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11</w:t>
            </w:r>
          </w:p>
        </w:tc>
      </w:tr>
      <w:tr w:rsidR="00AE44C6" w:rsidRPr="00B801E0" w:rsidTr="00AE44C6">
        <w:trPr>
          <w:trHeight w:val="3813"/>
        </w:trPr>
        <w:tc>
          <w:tcPr>
            <w:tcW w:w="11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jc w:val="both"/>
              <w:rPr>
                <w:rFonts w:cs="Calibri"/>
                <w:sz w:val="20"/>
                <w:szCs w:val="20"/>
              </w:rPr>
            </w:pPr>
            <w:r w:rsidRPr="00B801E0">
              <w:rPr>
                <w:rFonts w:cs="Calibri"/>
                <w:sz w:val="20"/>
                <w:szCs w:val="20"/>
              </w:rPr>
              <w:t xml:space="preserve">Chusteczki do mycia i dezynfekcji małych powierzchni i sprzętu medycznego, przeznaczone także do dezynfekcji powierzchni mających kontakt z żywnością. Skład: etanol, propan-2-ol, bez zawartości dodatkowych substancji aktywnych.  Zawartość alkoholu 70g/100 g </w:t>
            </w:r>
            <w:r w:rsidRPr="00416E35">
              <w:rPr>
                <w:rFonts w:cs="Calibri"/>
                <w:sz w:val="20"/>
                <w:szCs w:val="20"/>
              </w:rPr>
              <w:t>produktu</w:t>
            </w:r>
            <w:r w:rsidRPr="00B801E0">
              <w:rPr>
                <w:rFonts w:cs="Calibri"/>
                <w:sz w:val="20"/>
                <w:szCs w:val="20"/>
              </w:rPr>
              <w:t>. Zalecane do dezynfekcji sprzętu medycznego: łózek, foteli zabiegowych, aparatury medycznej i operacyjnej oraz wszelkich powierzchni nierważliwych na działanie alkoholu. Spektrum działania zgodnie z EN 14885: B, MRSA, F (C.albicans), Tbc, V (HIV, HBV, HCV, HSV, rota, noro, BVDV) w czasie do 60 sekund przy wysokim obciążeniu organicznym. Wymagane badania zgodnie z EN 16615. Aktywność po otwarciu do 21 dni. Chusteczki o wymiarach 13x20 cm, gramatura 23g/cm2. Produkt posiada badania dermatologiczne. Wymagana podwójna rejestracja: wyrób medyczny oraz produkt biobójczy.  Opakowanie: puszka 100 szt., wkład 100 szt.</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 xml:space="preserve"> puszka + wkład a 100 szt.</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300</w:t>
            </w:r>
          </w:p>
        </w:tc>
        <w:tc>
          <w:tcPr>
            <w:tcW w:w="296" w:type="pct"/>
            <w:tcBorders>
              <w:top w:val="single" w:sz="4" w:space="0" w:color="auto"/>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single" w:sz="4" w:space="0" w:color="auto"/>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p>
        </w:tc>
      </w:tr>
      <w:tr w:rsidR="00AE44C6" w:rsidRPr="00B801E0" w:rsidTr="00AE44C6">
        <w:trPr>
          <w:trHeight w:val="2537"/>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jc w:val="both"/>
              <w:rPr>
                <w:rFonts w:cs="Calibri"/>
                <w:sz w:val="20"/>
                <w:szCs w:val="20"/>
              </w:rPr>
            </w:pPr>
            <w:r w:rsidRPr="00B801E0">
              <w:rPr>
                <w:rFonts w:cs="Calibri"/>
                <w:sz w:val="20"/>
                <w:szCs w:val="20"/>
              </w:rPr>
              <w:t>Chusteczki do mycia i dezynfekcji małych powierzchni i sprzętu medycznego, przeznaczone także do dezynfekcji powierzchni mających kontakt z żywnością. Skład: etanol, propan-2-ol, bez zawartości dodatkowych substancji aktywnych.  Zawartość alkoholu 70g/100 g produktu. Zalecane do dezynfekcji sprzętu medycznego: łózek, foteli zabiegowych, aparatury medycznej i operacyjnej oraz wszelkich powierzchni nierważliwych na działanie alkoholu. Spektrum działania zgodnie z EN 14885: B, MRSA, F (C.albicans), Tbc, V (HIV, HBV, HCV, HSV, rota, noro, BVDV) w czasie do 60 sekund przy wysokim obciążeniu organicznym. Wymagane badania zgodnie z EN 16615. Aktywność po otwarciu do 21 dni. Chusteczki o wymiarach 13x20 cm, gramatura 23g/cm2. Produkt posiada badania dermatologiczne. Wymagana podwójna rejestracja: wyrób medyczny oraz produkt biobójczy.  Opakowanie: puszka 100 szt., wkład 100 szt.</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wkład a 100 szt.</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600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p>
        </w:tc>
      </w:tr>
      <w:tr w:rsidR="00AE44C6" w:rsidRPr="00B801E0" w:rsidTr="00AE44C6">
        <w:trPr>
          <w:trHeight w:val="2600"/>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jc w:val="both"/>
              <w:rPr>
                <w:rFonts w:cs="Calibri"/>
                <w:sz w:val="20"/>
                <w:szCs w:val="20"/>
              </w:rPr>
            </w:pPr>
            <w:r w:rsidRPr="00B801E0">
              <w:rPr>
                <w:rFonts w:cs="Calibri"/>
                <w:sz w:val="20"/>
                <w:szCs w:val="20"/>
              </w:rPr>
              <w:t>Gotowy do użycia środek na bazie alkoholu, przeznaczony do szybkiej dezynfekcji i mycia powierzchni. Skład: etanol, 2-propanol. Łączna zawartość alkoholu do 70 g w 100 g.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Produkt posiadający pozytywną opinię producenta sprzętu medycznego np. Famed (lub równoważna) w zakresie tolerancji materiałowej na tworzywo ABS i materiały obiciowe. Posiadający pozytywną opinię CZD lub IMiDz lub równoważną. Spektrum bójcze potwierdzone badaniami z obszaru medycznego: B (MRSA), F (C.albicans), Tbc (M.terrae), wirusy otoczkowe (HIV, HBV, HCV, HSV, Vaccinia, wirus grypy), rota, noro w czasie od 30 sekund do 1 minuty. Dostępny w min. dwóch wersjach zapachowych. Produkt o podwójnej rejestracji: wyrób medyczny oraz produkt biobójczy. Opakowanie: 1 l ze spryskiwaczem</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 xml:space="preserve">op. 1 l </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1100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noWrap/>
            <w:vAlign w:val="bottom"/>
          </w:tcPr>
          <w:p w:rsidR="00AE44C6" w:rsidRPr="00B801E0" w:rsidRDefault="00AE44C6" w:rsidP="005C0120">
            <w:pPr>
              <w:jc w:val="center"/>
              <w:rPr>
                <w:rFonts w:cs="Calibri"/>
                <w:b/>
                <w:bCs/>
                <w:sz w:val="20"/>
                <w:szCs w:val="20"/>
              </w:rPr>
            </w:pPr>
          </w:p>
        </w:tc>
      </w:tr>
      <w:tr w:rsidR="00AE44C6" w:rsidRPr="00B801E0" w:rsidTr="00AE44C6">
        <w:trPr>
          <w:trHeight w:val="3675"/>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spacing w:after="240"/>
              <w:jc w:val="both"/>
              <w:rPr>
                <w:rFonts w:cs="Calibri"/>
                <w:sz w:val="20"/>
                <w:szCs w:val="20"/>
              </w:rPr>
            </w:pPr>
            <w:r w:rsidRPr="00B801E0">
              <w:rPr>
                <w:rFonts w:cs="Calibri"/>
                <w:sz w:val="20"/>
                <w:szCs w:val="20"/>
              </w:rPr>
              <w:t>Płyn do higienicznej i chirurgicznej dezynfekcji rąk o szerokim spektrum działania na bazie 60% propan-2-olu i chlorheksydyny. Łagodny dla skóry, zawierający glicerynę. Bezbarwny o przyjemnym, delikatnym zapachu. Spektrum działania: B, MRSA, F (C.albicans), Tbc (M.terrae), V (HIV, HBV, HCV, HSV, Vaccinia, grypa, Ebola, rota). Dezynfekcja higieniczna – 30 sekund, dezynfekcja chirurgiczna – 2 x 45 sekund. Posiada przedłużone działanie bateriobójcze w czasie 3 godzin. Produkt biobójczy.</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op. 500 ml</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300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noWrap/>
            <w:vAlign w:val="bottom"/>
          </w:tcPr>
          <w:p w:rsidR="00AE44C6" w:rsidRPr="00B801E0" w:rsidRDefault="00AE44C6" w:rsidP="005C0120">
            <w:pPr>
              <w:jc w:val="center"/>
              <w:rPr>
                <w:rFonts w:cs="Calibri"/>
                <w:b/>
                <w:bCs/>
                <w:sz w:val="20"/>
                <w:szCs w:val="20"/>
              </w:rPr>
            </w:pPr>
          </w:p>
        </w:tc>
      </w:tr>
      <w:tr w:rsidR="00AE44C6" w:rsidRPr="00B801E0" w:rsidTr="00AE44C6">
        <w:trPr>
          <w:trHeight w:val="3885"/>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spacing w:after="240"/>
              <w:jc w:val="both"/>
              <w:rPr>
                <w:rFonts w:cs="Calibri"/>
                <w:sz w:val="20"/>
                <w:szCs w:val="20"/>
              </w:rPr>
            </w:pPr>
            <w:r w:rsidRPr="00B801E0">
              <w:rPr>
                <w:rFonts w:cs="Calibri"/>
                <w:sz w:val="20"/>
                <w:szCs w:val="20"/>
              </w:rPr>
              <w:t xml:space="preserve">Żel przeznaczony do higienicznej i chirurgicznej dezynfekcji rąk. Skład: etanol – 63,7 g, propan-2-ol - 6,3 g. Łagodny dla dłoni, zawierający w swoim składzie glicerynę oraz formułę zapobiegającą uczuciu lepkości dłoni. Spektrum działania: B, MRSA, Tbc (M.terrae), V (HIV, HBV, HCV), BVDV, rota, noro w czasie do 60 sekund przy wysokim obciążeniu organicznym. Dezynfekcja higieniczna wg. EN 1500: 2x 3ml w czasie 2x15 sekund. Dezynfekcja chirurgiczna wg. EN 12791 2x 3 ml w czasie 2x90 sekund. Produkt biobójczy. Wymagane badania dermatologiczne. </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op. 500 ml</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1000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p>
        </w:tc>
      </w:tr>
      <w:tr w:rsidR="00AE44C6" w:rsidRPr="00B801E0" w:rsidTr="00AE44C6">
        <w:trPr>
          <w:trHeight w:val="1828"/>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jc w:val="both"/>
              <w:rPr>
                <w:rFonts w:cs="Calibri"/>
                <w:sz w:val="20"/>
                <w:szCs w:val="20"/>
              </w:rPr>
            </w:pPr>
            <w:r w:rsidRPr="00B801E0">
              <w:rPr>
                <w:rFonts w:cs="Calibri"/>
                <w:sz w:val="20"/>
                <w:szCs w:val="20"/>
              </w:rPr>
              <w:t xml:space="preserve">Chusteczki bezalkoholowe przeznaczone do mycia i szybkiej dezynfekcji powierzchni sprzętu medycznego wrażliwego na działanie alkoholu.  Skład: 0,15% N-(3-aminopropylo)-N-dodecylopropan-1,3-diamina, 0,14% poli(oksy-1,2-etanodilo)alfa[2-didecylmetyloamino)etylo]-omega-hydroksy-propionian (sól). Przeznaczone do dezynfekcji powierzchni sprzętu medycznego ze szkła, porcelany, metalu, gumy, tworzy sztucznych, szkła akrylowego. Do zastosowania na oddziale intensywnej terapii, blokach operacyjnych, do dezynfekcji aparatury medycznej, sprzętu, foteli zabiegowych, lamp, inkubatorów. Bez zawartości aldehydów i fosforanów, nie odbarwiają dezynfekowanych powierzchni. Spektrum działania, potwierdzone normami z obszaru medycznego: B (MRSA), F (C.albicans), V (HIV, HBV, HCV, wirus grypy, Vaccinia, BVDV, HSV, Ebola) - 1 minuta. Tbc (M.terrae) - 5 minut.  Wymagane badania zgodnie z EN 16615. Wymiary: 13x20 cm. </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 xml:space="preserve"> puszka + wkład a 100 szt.</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150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p>
        </w:tc>
      </w:tr>
      <w:tr w:rsidR="00AE44C6" w:rsidRPr="00B801E0" w:rsidTr="00AE44C6">
        <w:trPr>
          <w:trHeight w:val="1828"/>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jc w:val="both"/>
              <w:rPr>
                <w:rFonts w:cs="Calibri"/>
                <w:sz w:val="20"/>
                <w:szCs w:val="20"/>
              </w:rPr>
            </w:pPr>
            <w:r w:rsidRPr="00B801E0">
              <w:rPr>
                <w:rFonts w:cs="Calibri"/>
                <w:sz w:val="20"/>
                <w:szCs w:val="20"/>
              </w:rPr>
              <w:t xml:space="preserve">Chusteczki bezalkoholowe przeznaczone do mycia i szybkiej dezynfekcji powierzchni sprzętu medycznego wrażliwego na działanie alkoholu.  Skład: 0,15% N-(3-aminopropylo)-N-dodecylopropan-1,3-diamina, 0,14% poli(oksy-1,2-etanodilo)alfa[2-didecylmetyloamino)etylo]-omega-hydroksy-propionian (sól). Przeznaczone do dezynfekcji powierzchni sprzętu medycznego ze szkła, porcelany, metalu, gumy, tworzy sztucznych, szkła akrylowego. Do zastosowania na oddziale intensywnej terapii, blokach operacyjnych, do dezynfekcji aparatury medycznej, sprzętu, foteli zabiegowych, lamp, inkubatorów. Bez zawartości aldehydów i fosforanów, nie odbarwiają dezynfekowanych powierzchni. Spektrum działania, potwierdzone normami z obszaru medycznego: B (MRSA), F (C.albicans), V (HIV, HBV, HCV, wirus grypy, Vaccinia, BVDV, HSV, Ebola) - 1 minuta. Tbc (M.terrae) - 5 minut.  Wymagane badania zgodnie z EN 16615. Wymiary: 13x20 cm. </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wkład a 100 szt.</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200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p>
        </w:tc>
      </w:tr>
      <w:tr w:rsidR="00AE44C6" w:rsidRPr="00B801E0" w:rsidTr="00AE44C6">
        <w:trPr>
          <w:trHeight w:val="5145"/>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jc w:val="both"/>
              <w:rPr>
                <w:rFonts w:cs="Calibri"/>
                <w:sz w:val="20"/>
                <w:szCs w:val="20"/>
              </w:rPr>
            </w:pPr>
            <w:r w:rsidRPr="00B801E0">
              <w:rPr>
                <w:rFonts w:cs="Calibri"/>
                <w:sz w:val="20"/>
                <w:szCs w:val="20"/>
              </w:rPr>
              <w:t>Gotowy do użycia preparat przeznaczony do szybkiej dezynfekcji i mycia powierzchni sprzęty medycznego - łózek, foteli, szafek, aparatury medycznej, inkubatorów, sprzętu rahabilitacyjnego. Skład w 100 g preparatu : etanol 72g, propan-2-ol 7,2 g;  nadtlenek wodoru 3 g. Bez zawartości aldehydów i fenoli. Preparat o wysokiej tolerancji materiałowej  - moze być stoswoany do powierzchni wykonanaych z tworzywa ABS, materiałów obiciowych, skóry naturalnej, gumy, silikonu. Spektrum działania zgodnie z EN 14885: B (w tym MRSA), F(C. albicans, A. niger), V (noro, Vaccinia, HIV, HBV, HCV, SARS-CoV-2) - w czasie do 30 sekund; spory B. subtilis (EN 13704) - 10 minut, C. difficile (EN 17126) - 15 minut. Preparat posiada badania zgodnie z EN 16615. Opakowanie: 1l ze spryskiwaczem Wyrób medyczny klasy IIA.</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 xml:space="preserve">op. 1l ze sprysk. </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30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bottom"/>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rPr>
                <w:rFonts w:cs="Calibri"/>
                <w:b/>
                <w:bCs/>
                <w:sz w:val="20"/>
                <w:szCs w:val="20"/>
              </w:rPr>
            </w:pPr>
          </w:p>
        </w:tc>
      </w:tr>
      <w:tr w:rsidR="00AE44C6" w:rsidRPr="00B801E0" w:rsidTr="00AE44C6">
        <w:trPr>
          <w:trHeight w:val="332"/>
        </w:trPr>
        <w:tc>
          <w:tcPr>
            <w:tcW w:w="1167" w:type="pct"/>
            <w:tcBorders>
              <w:top w:val="nil"/>
              <w:left w:val="single" w:sz="4" w:space="0" w:color="auto"/>
              <w:bottom w:val="single" w:sz="4" w:space="0" w:color="auto"/>
              <w:right w:val="single" w:sz="4" w:space="0" w:color="auto"/>
            </w:tcBorders>
            <w:shd w:val="clear" w:color="auto" w:fill="auto"/>
            <w:vAlign w:val="bottom"/>
            <w:hideMark/>
          </w:tcPr>
          <w:p w:rsidR="00AE44C6" w:rsidRPr="00B801E0" w:rsidRDefault="00AE44C6" w:rsidP="00AE44C6">
            <w:pPr>
              <w:spacing w:after="240"/>
              <w:jc w:val="both"/>
              <w:rPr>
                <w:rFonts w:cs="Calibri"/>
                <w:sz w:val="20"/>
                <w:szCs w:val="20"/>
              </w:rPr>
            </w:pPr>
            <w:r w:rsidRPr="00B801E0">
              <w:rPr>
                <w:rFonts w:cs="Calibri"/>
                <w:sz w:val="20"/>
                <w:szCs w:val="20"/>
              </w:rPr>
              <w:t>Emulsja przeznaczona do mycia rąk, skóry głowy i ciała. Bez zawartości mydła, przeznaczona dla osób z alergią i nietolerancją na produkty zawierające mydło. Produkt zawiera substancje pielęgnujące, polecany dla personelu medycznego i osób narażonych na macerację skóry w wyniku częstego mycia. Produkt polecany do mycia pacjentów z odleżynami. Skład: anionowe środki powierzchniowo czynne, amfoteryczne związki powierzchniowo czynne (betaina kokosowa). Zawiera glicerynę. Kosmetyk</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op. 500 ml z pompką</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800</w:t>
            </w:r>
          </w:p>
        </w:tc>
        <w:tc>
          <w:tcPr>
            <w:tcW w:w="296"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 </w:t>
            </w:r>
          </w:p>
        </w:tc>
        <w:tc>
          <w:tcPr>
            <w:tcW w:w="846"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p>
        </w:tc>
      </w:tr>
      <w:tr w:rsidR="00AE44C6" w:rsidRPr="00B801E0" w:rsidTr="00AE44C6">
        <w:trPr>
          <w:trHeight w:val="493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AE44C6" w:rsidRPr="00B801E0" w:rsidRDefault="00AE44C6" w:rsidP="00AE44C6">
            <w:pPr>
              <w:jc w:val="both"/>
              <w:rPr>
                <w:rFonts w:cs="Calibri"/>
                <w:sz w:val="20"/>
                <w:szCs w:val="20"/>
              </w:rPr>
            </w:pPr>
            <w:r w:rsidRPr="00B801E0">
              <w:rPr>
                <w:rFonts w:cs="Calibri"/>
                <w:sz w:val="20"/>
                <w:szCs w:val="20"/>
              </w:rPr>
              <w:t>Koncentrat na bazie aminy i QAV przeznaczony do mycia i dezynfekcji sprzętu medycznego, dużych powierzchni wodoodpornych (łóżek, podłóg, blatów, ścian). Produkt o wysokiej tolerancji materiałowej, może być używany do dezynfekcji materiałów obiciowych, tworzywa ABS, szkła, porcelany, gumy, stali szlachetnej, aluminium, a także niklu oraz chromu. Polecany do wyrobów ze szkła akrylowego. Może być stosowany do powierzchni mających kontakt z żywnością. Produkt bez zawartości aldehydów i fenoli. Wymagana opinia producenta materiałów obiciowych w zakresie tolerancji materiałowej na tworzywo ABS i materiały obiciowe np. Famed lub równoważna. Spektrum działania: B, MRSA, F (C.albicans) – 0,25% w 15 minut, Tbc (M.terrae, M.avium), V (HIV, HBV, HCV, HSV, BVDV, Vaccinia, Ebola), wirus adeno - 0,5% w 15 minut. Wirus polio - 1% w 15 minut. Spektrum potwierdzone badaniami wg norm EN 14885. Środek posiada podwójną rejestrację jako wyrób medyczny i produkt biobójczy. Opakowanie  5 l</w:t>
            </w:r>
          </w:p>
        </w:tc>
        <w:tc>
          <w:tcPr>
            <w:tcW w:w="323"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jc w:val="center"/>
              <w:rPr>
                <w:rFonts w:cs="Calibri"/>
                <w:sz w:val="20"/>
                <w:szCs w:val="20"/>
              </w:rPr>
            </w:pPr>
            <w:r w:rsidRPr="00B801E0">
              <w:rPr>
                <w:rFonts w:cs="Calibri"/>
                <w:sz w:val="20"/>
                <w:szCs w:val="20"/>
              </w:rPr>
              <w:t>op.</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90</w:t>
            </w:r>
          </w:p>
        </w:tc>
        <w:tc>
          <w:tcPr>
            <w:tcW w:w="296"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right"/>
              <w:rPr>
                <w:rFonts w:cs="Calibri"/>
                <w:sz w:val="20"/>
                <w:szCs w:val="20"/>
              </w:rPr>
            </w:pPr>
          </w:p>
        </w:tc>
        <w:tc>
          <w:tcPr>
            <w:tcW w:w="455"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41"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34"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477" w:type="pct"/>
            <w:tcBorders>
              <w:top w:val="nil"/>
              <w:left w:val="nil"/>
              <w:bottom w:val="single" w:sz="4" w:space="0" w:color="auto"/>
              <w:right w:val="single" w:sz="4" w:space="0" w:color="auto"/>
            </w:tcBorders>
            <w:shd w:val="clear" w:color="auto" w:fill="auto"/>
            <w:noWrap/>
            <w:vAlign w:val="center"/>
          </w:tcPr>
          <w:p w:rsidR="00AE44C6" w:rsidRPr="00B801E0" w:rsidRDefault="00AE44C6" w:rsidP="005C0120">
            <w:pPr>
              <w:jc w:val="center"/>
              <w:rPr>
                <w:rFonts w:cs="Calibri"/>
                <w:sz w:val="20"/>
                <w:szCs w:val="20"/>
              </w:rPr>
            </w:pPr>
          </w:p>
        </w:tc>
        <w:tc>
          <w:tcPr>
            <w:tcW w:w="371"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sz w:val="20"/>
                <w:szCs w:val="20"/>
              </w:rPr>
            </w:pPr>
            <w:r w:rsidRPr="00B801E0">
              <w:rPr>
                <w:rFonts w:cs="Calibri"/>
                <w:sz w:val="20"/>
                <w:szCs w:val="20"/>
              </w:rPr>
              <w:t> </w:t>
            </w:r>
          </w:p>
        </w:tc>
        <w:tc>
          <w:tcPr>
            <w:tcW w:w="846" w:type="pct"/>
            <w:tcBorders>
              <w:top w:val="nil"/>
              <w:left w:val="nil"/>
              <w:bottom w:val="single" w:sz="4" w:space="0" w:color="auto"/>
              <w:right w:val="single" w:sz="4" w:space="0" w:color="auto"/>
            </w:tcBorders>
            <w:shd w:val="clear" w:color="auto" w:fill="auto"/>
            <w:vAlign w:val="center"/>
            <w:hideMark/>
          </w:tcPr>
          <w:p w:rsidR="00AE44C6" w:rsidRPr="00B801E0" w:rsidRDefault="00AE44C6" w:rsidP="005C0120">
            <w:pPr>
              <w:rPr>
                <w:rFonts w:cs="Calibri"/>
                <w:b/>
                <w:bCs/>
                <w:sz w:val="20"/>
                <w:szCs w:val="20"/>
              </w:rPr>
            </w:pPr>
          </w:p>
        </w:tc>
      </w:tr>
      <w:tr w:rsidR="00AE44C6" w:rsidRPr="00B801E0" w:rsidTr="005C0120">
        <w:trPr>
          <w:trHeight w:val="540"/>
        </w:trPr>
        <w:tc>
          <w:tcPr>
            <w:tcW w:w="1167" w:type="pct"/>
            <w:tcBorders>
              <w:top w:val="nil"/>
              <w:left w:val="single" w:sz="4" w:space="0" w:color="auto"/>
              <w:bottom w:val="single" w:sz="4" w:space="0" w:color="auto"/>
              <w:right w:val="single" w:sz="4" w:space="0" w:color="auto"/>
            </w:tcBorders>
            <w:shd w:val="clear" w:color="auto" w:fill="auto"/>
            <w:hideMark/>
          </w:tcPr>
          <w:p w:rsidR="00AE44C6" w:rsidRPr="00B801E0" w:rsidRDefault="00AE44C6" w:rsidP="005C0120">
            <w:pPr>
              <w:rPr>
                <w:rFonts w:cs="Calibri"/>
                <w:b/>
                <w:bCs/>
                <w:sz w:val="20"/>
                <w:szCs w:val="20"/>
              </w:rPr>
            </w:pPr>
            <w:r w:rsidRPr="00B801E0">
              <w:rPr>
                <w:rFonts w:cs="Calibri"/>
                <w:b/>
                <w:bCs/>
                <w:sz w:val="20"/>
                <w:szCs w:val="20"/>
              </w:rPr>
              <w:t>Razem</w:t>
            </w:r>
          </w:p>
        </w:tc>
        <w:tc>
          <w:tcPr>
            <w:tcW w:w="323"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296"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455"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p>
        </w:tc>
        <w:tc>
          <w:tcPr>
            <w:tcW w:w="341"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p>
        </w:tc>
        <w:tc>
          <w:tcPr>
            <w:tcW w:w="371"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 </w:t>
            </w:r>
          </w:p>
        </w:tc>
        <w:tc>
          <w:tcPr>
            <w:tcW w:w="846" w:type="pct"/>
            <w:tcBorders>
              <w:top w:val="nil"/>
              <w:left w:val="nil"/>
              <w:bottom w:val="single" w:sz="4" w:space="0" w:color="auto"/>
              <w:right w:val="single" w:sz="4" w:space="0" w:color="auto"/>
            </w:tcBorders>
            <w:shd w:val="clear" w:color="auto" w:fill="auto"/>
            <w:noWrap/>
            <w:vAlign w:val="center"/>
            <w:hideMark/>
          </w:tcPr>
          <w:p w:rsidR="00AE44C6" w:rsidRPr="00B801E0" w:rsidRDefault="00AE44C6" w:rsidP="005C0120">
            <w:pPr>
              <w:jc w:val="center"/>
              <w:rPr>
                <w:rFonts w:cs="Calibri"/>
                <w:b/>
                <w:bCs/>
                <w:sz w:val="20"/>
                <w:szCs w:val="20"/>
              </w:rPr>
            </w:pPr>
            <w:r w:rsidRPr="00B801E0">
              <w:rPr>
                <w:rFonts w:cs="Calibri"/>
                <w:b/>
                <w:bCs/>
                <w:sz w:val="20"/>
                <w:szCs w:val="20"/>
              </w:rPr>
              <w:t> </w:t>
            </w:r>
          </w:p>
        </w:tc>
      </w:tr>
    </w:tbl>
    <w:p w:rsidR="00AE44C6" w:rsidRDefault="00AE44C6" w:rsidP="00AE44C6"/>
    <w:p w:rsidR="00AE44C6" w:rsidRDefault="00AE44C6" w:rsidP="00AE44C6"/>
    <w:p w:rsidR="00AE44C6" w:rsidRDefault="00AE44C6" w:rsidP="00AE44C6"/>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Termin dostawy: ………………. dni.(max. 48 godzin)</w:t>
      </w:r>
    </w:p>
    <w:p w:rsidR="00AE44C6" w:rsidRPr="00AE44C6" w:rsidRDefault="00AE44C6" w:rsidP="00AE44C6">
      <w:pPr>
        <w:tabs>
          <w:tab w:val="left" w:pos="9072"/>
        </w:tabs>
        <w:spacing w:line="480" w:lineRule="auto"/>
        <w:jc w:val="both"/>
        <w:rPr>
          <w:rFonts w:ascii="Cambria" w:hAnsi="Cambria" w:cs="Arial"/>
          <w:b/>
          <w:bCs/>
          <w:sz w:val="20"/>
          <w:szCs w:val="20"/>
        </w:rPr>
      </w:pPr>
      <w:r w:rsidRPr="00AE44C6">
        <w:rPr>
          <w:rFonts w:ascii="Cambria" w:hAnsi="Cambria" w:cs="Arial"/>
          <w:b/>
          <w:bCs/>
          <w:sz w:val="20"/>
          <w:szCs w:val="20"/>
        </w:rPr>
        <w:t>Osoba/y upoważniona/e do kontaktu:</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Nr tel. …………………………….</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Nr fax…………………………….</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mail ………………..…………….</w:t>
      </w:r>
    </w:p>
    <w:p w:rsidR="00AE44C6" w:rsidRPr="00AE44C6" w:rsidRDefault="00AE44C6" w:rsidP="00AE44C6">
      <w:pPr>
        <w:tabs>
          <w:tab w:val="left" w:pos="9072"/>
        </w:tabs>
        <w:spacing w:line="480" w:lineRule="auto"/>
        <w:jc w:val="both"/>
        <w:rPr>
          <w:rFonts w:ascii="Cambria" w:hAnsi="Cambria" w:cs="Arial"/>
          <w:bCs/>
          <w:sz w:val="20"/>
          <w:szCs w:val="20"/>
        </w:rPr>
      </w:pP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 xml:space="preserve">                                                                                                                                                                         …………………………………………</w:t>
      </w:r>
    </w:p>
    <w:p w:rsidR="00AE44C6" w:rsidRPr="00AE44C6" w:rsidRDefault="00682C81" w:rsidP="00AE44C6">
      <w:pPr>
        <w:tabs>
          <w:tab w:val="left" w:pos="9072"/>
        </w:tabs>
        <w:spacing w:line="480" w:lineRule="auto"/>
        <w:jc w:val="both"/>
        <w:rPr>
          <w:rFonts w:ascii="Cambria" w:hAnsi="Cambria" w:cs="Arial"/>
          <w:bCs/>
          <w:i/>
          <w:sz w:val="20"/>
          <w:szCs w:val="20"/>
        </w:rPr>
      </w:pPr>
      <w:r>
        <w:rPr>
          <w:rFonts w:ascii="Cambria" w:hAnsi="Cambria" w:cs="Arial"/>
          <w:bCs/>
          <w:i/>
          <w:sz w:val="20"/>
          <w:szCs w:val="20"/>
        </w:rPr>
        <w:t xml:space="preserve">  </w:t>
      </w:r>
      <w:r w:rsidR="00AE44C6" w:rsidRPr="00AE44C6">
        <w:rPr>
          <w:rFonts w:ascii="Cambria" w:hAnsi="Cambria" w:cs="Arial"/>
          <w:bCs/>
          <w:i/>
          <w:sz w:val="20"/>
          <w:szCs w:val="20"/>
        </w:rPr>
        <w:t xml:space="preserve">                                                                                                                                                                                           (podpis)</w:t>
      </w: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682C81" w:rsidRDefault="00682C81" w:rsidP="00AE44C6">
      <w:pPr>
        <w:tabs>
          <w:tab w:val="left" w:pos="9072"/>
        </w:tabs>
        <w:spacing w:line="480" w:lineRule="auto"/>
        <w:jc w:val="both"/>
        <w:rPr>
          <w:rFonts w:ascii="Cambria" w:hAnsi="Cambria" w:cs="Arial"/>
          <w:bCs/>
          <w:sz w:val="20"/>
          <w:szCs w:val="20"/>
        </w:rPr>
      </w:pP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Wykonawca:</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i/>
          <w:sz w:val="20"/>
          <w:szCs w:val="20"/>
        </w:rPr>
      </w:pPr>
      <w:r w:rsidRPr="00AE44C6">
        <w:rPr>
          <w:rFonts w:ascii="Cambria" w:hAnsi="Cambria" w:cs="Arial"/>
          <w:bCs/>
          <w:sz w:val="20"/>
          <w:szCs w:val="20"/>
        </w:rPr>
        <w:t>(</w:t>
      </w:r>
      <w:r w:rsidRPr="00AE44C6">
        <w:rPr>
          <w:rFonts w:ascii="Cambria" w:hAnsi="Cambria" w:cs="Arial"/>
          <w:bCs/>
          <w:i/>
          <w:sz w:val="20"/>
          <w:szCs w:val="20"/>
        </w:rPr>
        <w:t>pełna nazwa/firma, adres)</w:t>
      </w:r>
    </w:p>
    <w:p w:rsidR="00AE44C6" w:rsidRPr="00AE44C6" w:rsidRDefault="00AE44C6" w:rsidP="00AE44C6">
      <w:pPr>
        <w:tabs>
          <w:tab w:val="left" w:pos="9072"/>
        </w:tabs>
        <w:spacing w:line="480" w:lineRule="auto"/>
        <w:jc w:val="both"/>
        <w:rPr>
          <w:rFonts w:ascii="Cambria" w:hAnsi="Cambria" w:cs="Arial"/>
          <w:bCs/>
          <w:i/>
          <w:sz w:val="20"/>
          <w:szCs w:val="20"/>
        </w:rPr>
      </w:pPr>
      <w:r w:rsidRPr="00AE44C6">
        <w:rPr>
          <w:rFonts w:ascii="Cambria" w:hAnsi="Cambria" w:cs="Arial"/>
          <w:bCs/>
          <w:sz w:val="20"/>
          <w:szCs w:val="20"/>
        </w:rPr>
        <w:t>NIP</w:t>
      </w:r>
      <w:r w:rsidRPr="00AE44C6">
        <w:rPr>
          <w:rFonts w:ascii="Cambria" w:hAnsi="Cambria" w:cs="Arial"/>
          <w:bCs/>
          <w:i/>
          <w:sz w:val="20"/>
          <w:szCs w:val="20"/>
        </w:rPr>
        <w:t xml:space="preserve"> ……………………….</w:t>
      </w:r>
    </w:p>
    <w:p w:rsidR="00AE44C6" w:rsidRPr="00AE44C6" w:rsidRDefault="00AE44C6" w:rsidP="00AE44C6">
      <w:pPr>
        <w:tabs>
          <w:tab w:val="left" w:pos="9072"/>
        </w:tabs>
        <w:spacing w:line="480" w:lineRule="auto"/>
        <w:jc w:val="both"/>
        <w:rPr>
          <w:rFonts w:ascii="Cambria" w:hAnsi="Cambria" w:cs="Arial"/>
          <w:b/>
          <w:bCs/>
          <w:sz w:val="20"/>
          <w:szCs w:val="20"/>
          <w:u w:val="single"/>
        </w:rPr>
      </w:pPr>
      <w:r w:rsidRPr="00AE44C6">
        <w:rPr>
          <w:rFonts w:ascii="Cambria" w:hAnsi="Cambria" w:cs="Arial"/>
          <w:b/>
          <w:bCs/>
          <w:sz w:val="20"/>
          <w:szCs w:val="20"/>
        </w:rPr>
        <w:t xml:space="preserve">                                                                                                                                 </w:t>
      </w:r>
      <w:r w:rsidRPr="00AE44C6">
        <w:rPr>
          <w:rFonts w:ascii="Cambria" w:hAnsi="Cambria" w:cs="Arial"/>
          <w:b/>
          <w:bCs/>
          <w:sz w:val="20"/>
          <w:szCs w:val="20"/>
          <w:u w:val="single"/>
        </w:rPr>
        <w:t xml:space="preserve">O F E R T A –zadanie </w:t>
      </w:r>
      <w:r>
        <w:rPr>
          <w:rFonts w:ascii="Cambria" w:hAnsi="Cambria" w:cs="Arial"/>
          <w:b/>
          <w:bCs/>
          <w:sz w:val="20"/>
          <w:szCs w:val="20"/>
          <w:u w:val="single"/>
        </w:rPr>
        <w:t>4</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 xml:space="preserve">       W odpowiedzi na ogłoszenie dotyczące  udzielenia zamówienia publicznego na dostawy środków dezynfekcyjnych dla Szpitala Specjalistycznego w Brzozowie Podkarpackiego Ośrodka Onkologicznego im. Ks. B. Markiewicza, znak sprawy SZSPOO.SZPiGM. 3810/51/2022, przedstawiamy następującą ofertę:</w:t>
      </w:r>
    </w:p>
    <w:tbl>
      <w:tblPr>
        <w:tblW w:w="5000" w:type="pct"/>
        <w:tblCellMar>
          <w:left w:w="70" w:type="dxa"/>
          <w:right w:w="70" w:type="dxa"/>
        </w:tblCellMar>
        <w:tblLook w:val="04A0" w:firstRow="1" w:lastRow="0" w:firstColumn="1" w:lastColumn="0" w:noHBand="0" w:noVBand="1"/>
      </w:tblPr>
      <w:tblGrid>
        <w:gridCol w:w="486"/>
        <w:gridCol w:w="4308"/>
        <w:gridCol w:w="1003"/>
        <w:gridCol w:w="826"/>
        <w:gridCol w:w="886"/>
        <w:gridCol w:w="963"/>
        <w:gridCol w:w="852"/>
        <w:gridCol w:w="1046"/>
        <w:gridCol w:w="923"/>
        <w:gridCol w:w="974"/>
        <w:gridCol w:w="2018"/>
      </w:tblGrid>
      <w:tr w:rsidR="00682C81" w:rsidRPr="00662DF7" w:rsidTr="00682C81">
        <w:trPr>
          <w:trHeight w:val="750"/>
        </w:trPr>
        <w:tc>
          <w:tcPr>
            <w:tcW w:w="170" w:type="pct"/>
            <w:tcBorders>
              <w:top w:val="nil"/>
              <w:left w:val="nil"/>
              <w:bottom w:val="nil"/>
              <w:right w:val="nil"/>
            </w:tcBorders>
            <w:shd w:val="clear" w:color="auto" w:fill="auto"/>
            <w:noWrap/>
            <w:vAlign w:val="center"/>
            <w:hideMark/>
          </w:tcPr>
          <w:p w:rsidR="00682C81" w:rsidRPr="00416E35" w:rsidRDefault="00682C81" w:rsidP="005C0120">
            <w:pPr>
              <w:rPr>
                <w:rFonts w:cs="Calibri"/>
                <w:sz w:val="20"/>
                <w:szCs w:val="20"/>
              </w:rPr>
            </w:pPr>
          </w:p>
        </w:tc>
        <w:tc>
          <w:tcPr>
            <w:tcW w:w="1508" w:type="pct"/>
            <w:tcBorders>
              <w:top w:val="nil"/>
              <w:left w:val="nil"/>
              <w:bottom w:val="nil"/>
              <w:right w:val="nil"/>
            </w:tcBorders>
            <w:shd w:val="clear" w:color="auto" w:fill="auto"/>
            <w:vAlign w:val="bottom"/>
            <w:hideMark/>
          </w:tcPr>
          <w:p w:rsidR="00682C81" w:rsidRPr="00416E35" w:rsidRDefault="00682C81" w:rsidP="005C0120">
            <w:pPr>
              <w:rPr>
                <w:rFonts w:cs="Calibri"/>
                <w:b/>
                <w:bCs/>
                <w:sz w:val="20"/>
                <w:szCs w:val="20"/>
              </w:rPr>
            </w:pPr>
            <w:r w:rsidRPr="00416E35">
              <w:rPr>
                <w:rFonts w:cs="Calibri"/>
                <w:b/>
                <w:bCs/>
                <w:sz w:val="20"/>
                <w:szCs w:val="20"/>
              </w:rPr>
              <w:t xml:space="preserve">Zadanie  nr 4 </w:t>
            </w:r>
          </w:p>
        </w:tc>
        <w:tc>
          <w:tcPr>
            <w:tcW w:w="351" w:type="pct"/>
            <w:tcBorders>
              <w:top w:val="nil"/>
              <w:left w:val="nil"/>
              <w:bottom w:val="nil"/>
              <w:right w:val="nil"/>
            </w:tcBorders>
            <w:shd w:val="clear" w:color="auto" w:fill="auto"/>
            <w:noWrap/>
            <w:vAlign w:val="center"/>
            <w:hideMark/>
          </w:tcPr>
          <w:p w:rsidR="00682C81" w:rsidRPr="00416E35" w:rsidRDefault="00682C81" w:rsidP="005C0120">
            <w:pPr>
              <w:rPr>
                <w:rFonts w:cs="Calibri"/>
                <w:b/>
                <w:bCs/>
                <w:sz w:val="20"/>
                <w:szCs w:val="20"/>
              </w:rPr>
            </w:pPr>
          </w:p>
        </w:tc>
        <w:tc>
          <w:tcPr>
            <w:tcW w:w="289" w:type="pct"/>
            <w:tcBorders>
              <w:top w:val="nil"/>
              <w:left w:val="nil"/>
              <w:bottom w:val="nil"/>
              <w:right w:val="nil"/>
            </w:tcBorders>
            <w:shd w:val="clear" w:color="auto" w:fill="auto"/>
            <w:noWrap/>
            <w:vAlign w:val="bottom"/>
            <w:hideMark/>
          </w:tcPr>
          <w:p w:rsidR="00682C81" w:rsidRPr="00416E35" w:rsidRDefault="00682C81" w:rsidP="005C0120">
            <w:pPr>
              <w:jc w:val="center"/>
              <w:rPr>
                <w:rFonts w:cs="Calibri"/>
                <w:sz w:val="20"/>
                <w:szCs w:val="20"/>
              </w:rPr>
            </w:pPr>
          </w:p>
        </w:tc>
        <w:tc>
          <w:tcPr>
            <w:tcW w:w="310" w:type="pct"/>
            <w:tcBorders>
              <w:top w:val="nil"/>
              <w:left w:val="nil"/>
              <w:bottom w:val="nil"/>
              <w:right w:val="nil"/>
            </w:tcBorders>
            <w:shd w:val="clear" w:color="auto" w:fill="auto"/>
            <w:noWrap/>
            <w:vAlign w:val="center"/>
            <w:hideMark/>
          </w:tcPr>
          <w:p w:rsidR="00682C81" w:rsidRPr="00416E35" w:rsidRDefault="00682C81" w:rsidP="005C0120">
            <w:pPr>
              <w:rPr>
                <w:rFonts w:cs="Calibri"/>
                <w:sz w:val="20"/>
                <w:szCs w:val="20"/>
              </w:rPr>
            </w:pPr>
          </w:p>
        </w:tc>
        <w:tc>
          <w:tcPr>
            <w:tcW w:w="337" w:type="pct"/>
            <w:tcBorders>
              <w:top w:val="nil"/>
              <w:left w:val="nil"/>
              <w:bottom w:val="nil"/>
              <w:right w:val="nil"/>
            </w:tcBorders>
            <w:shd w:val="clear" w:color="auto" w:fill="auto"/>
            <w:noWrap/>
            <w:vAlign w:val="bottom"/>
            <w:hideMark/>
          </w:tcPr>
          <w:p w:rsidR="00682C81" w:rsidRPr="00416E35" w:rsidRDefault="00682C81" w:rsidP="005C0120">
            <w:pPr>
              <w:jc w:val="center"/>
              <w:rPr>
                <w:rFonts w:cs="Calibri"/>
                <w:sz w:val="20"/>
                <w:szCs w:val="20"/>
              </w:rPr>
            </w:pPr>
          </w:p>
        </w:tc>
        <w:tc>
          <w:tcPr>
            <w:tcW w:w="298"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366"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323"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341"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706"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r>
      <w:tr w:rsidR="00682C81" w:rsidRPr="00662DF7" w:rsidTr="00682C81">
        <w:trPr>
          <w:trHeight w:val="540"/>
        </w:trPr>
        <w:tc>
          <w:tcPr>
            <w:tcW w:w="170" w:type="pct"/>
            <w:tcBorders>
              <w:top w:val="nil"/>
              <w:left w:val="nil"/>
              <w:bottom w:val="nil"/>
              <w:right w:val="nil"/>
            </w:tcBorders>
            <w:shd w:val="clear" w:color="auto" w:fill="auto"/>
            <w:noWrap/>
            <w:vAlign w:val="center"/>
            <w:hideMark/>
          </w:tcPr>
          <w:p w:rsidR="00682C81" w:rsidRPr="00416E35" w:rsidRDefault="00682C81" w:rsidP="005C0120">
            <w:pPr>
              <w:rPr>
                <w:rFonts w:cs="Calibri"/>
                <w:sz w:val="20"/>
                <w:szCs w:val="20"/>
              </w:rPr>
            </w:pPr>
          </w:p>
        </w:tc>
        <w:tc>
          <w:tcPr>
            <w:tcW w:w="1508" w:type="pct"/>
            <w:tcBorders>
              <w:top w:val="nil"/>
              <w:left w:val="nil"/>
              <w:bottom w:val="nil"/>
              <w:right w:val="nil"/>
            </w:tcBorders>
            <w:shd w:val="clear" w:color="auto" w:fill="auto"/>
            <w:vAlign w:val="bottom"/>
            <w:hideMark/>
          </w:tcPr>
          <w:p w:rsidR="00682C81" w:rsidRPr="00416E35" w:rsidRDefault="00682C81" w:rsidP="00682C81">
            <w:pPr>
              <w:rPr>
                <w:rFonts w:cs="Calibri"/>
                <w:sz w:val="20"/>
                <w:szCs w:val="20"/>
              </w:rPr>
            </w:pPr>
          </w:p>
        </w:tc>
        <w:tc>
          <w:tcPr>
            <w:tcW w:w="351" w:type="pct"/>
            <w:tcBorders>
              <w:top w:val="nil"/>
              <w:left w:val="nil"/>
              <w:bottom w:val="nil"/>
              <w:right w:val="nil"/>
            </w:tcBorders>
            <w:shd w:val="clear" w:color="auto" w:fill="auto"/>
            <w:noWrap/>
            <w:vAlign w:val="center"/>
            <w:hideMark/>
          </w:tcPr>
          <w:p w:rsidR="00682C81" w:rsidRPr="00416E35" w:rsidRDefault="00682C81" w:rsidP="005C0120">
            <w:pPr>
              <w:rPr>
                <w:rFonts w:cs="Calibri"/>
                <w:sz w:val="20"/>
                <w:szCs w:val="20"/>
              </w:rPr>
            </w:pPr>
          </w:p>
        </w:tc>
        <w:tc>
          <w:tcPr>
            <w:tcW w:w="289" w:type="pct"/>
            <w:tcBorders>
              <w:top w:val="nil"/>
              <w:left w:val="nil"/>
              <w:bottom w:val="nil"/>
              <w:right w:val="nil"/>
            </w:tcBorders>
            <w:shd w:val="clear" w:color="auto" w:fill="auto"/>
            <w:noWrap/>
            <w:vAlign w:val="bottom"/>
            <w:hideMark/>
          </w:tcPr>
          <w:p w:rsidR="00682C81" w:rsidRPr="00416E35" w:rsidRDefault="00682C81" w:rsidP="005C0120">
            <w:pPr>
              <w:jc w:val="center"/>
              <w:rPr>
                <w:rFonts w:cs="Calibri"/>
                <w:sz w:val="20"/>
                <w:szCs w:val="20"/>
              </w:rPr>
            </w:pPr>
          </w:p>
        </w:tc>
        <w:tc>
          <w:tcPr>
            <w:tcW w:w="310" w:type="pct"/>
            <w:tcBorders>
              <w:top w:val="nil"/>
              <w:left w:val="nil"/>
              <w:bottom w:val="nil"/>
              <w:right w:val="nil"/>
            </w:tcBorders>
            <w:shd w:val="clear" w:color="auto" w:fill="auto"/>
            <w:noWrap/>
            <w:vAlign w:val="center"/>
            <w:hideMark/>
          </w:tcPr>
          <w:p w:rsidR="00682C81" w:rsidRPr="00416E35" w:rsidRDefault="00682C81" w:rsidP="005C0120">
            <w:pPr>
              <w:rPr>
                <w:rFonts w:cs="Calibri"/>
                <w:sz w:val="20"/>
                <w:szCs w:val="20"/>
              </w:rPr>
            </w:pPr>
          </w:p>
        </w:tc>
        <w:tc>
          <w:tcPr>
            <w:tcW w:w="337" w:type="pct"/>
            <w:tcBorders>
              <w:top w:val="nil"/>
              <w:left w:val="nil"/>
              <w:bottom w:val="nil"/>
              <w:right w:val="nil"/>
            </w:tcBorders>
            <w:shd w:val="clear" w:color="auto" w:fill="auto"/>
            <w:noWrap/>
            <w:vAlign w:val="bottom"/>
            <w:hideMark/>
          </w:tcPr>
          <w:p w:rsidR="00682C81" w:rsidRPr="00416E35" w:rsidRDefault="00682C81" w:rsidP="005C0120">
            <w:pPr>
              <w:jc w:val="center"/>
              <w:rPr>
                <w:rFonts w:cs="Calibri"/>
                <w:sz w:val="20"/>
                <w:szCs w:val="20"/>
              </w:rPr>
            </w:pPr>
          </w:p>
        </w:tc>
        <w:tc>
          <w:tcPr>
            <w:tcW w:w="298"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366"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323"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341"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c>
          <w:tcPr>
            <w:tcW w:w="706" w:type="pct"/>
            <w:tcBorders>
              <w:top w:val="nil"/>
              <w:left w:val="nil"/>
              <w:bottom w:val="nil"/>
              <w:right w:val="nil"/>
            </w:tcBorders>
            <w:shd w:val="clear" w:color="auto" w:fill="auto"/>
            <w:noWrap/>
            <w:vAlign w:val="bottom"/>
            <w:hideMark/>
          </w:tcPr>
          <w:p w:rsidR="00682C81" w:rsidRPr="00416E35" w:rsidRDefault="00682C81" w:rsidP="005C0120">
            <w:pPr>
              <w:rPr>
                <w:rFonts w:cs="Calibri"/>
                <w:sz w:val="20"/>
                <w:szCs w:val="20"/>
              </w:rPr>
            </w:pPr>
          </w:p>
        </w:tc>
      </w:tr>
      <w:tr w:rsidR="00682C81" w:rsidRPr="00662DF7" w:rsidTr="00682C81">
        <w:trPr>
          <w:trHeight w:val="1275"/>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L.p.</w:t>
            </w:r>
          </w:p>
        </w:tc>
        <w:tc>
          <w:tcPr>
            <w:tcW w:w="1508" w:type="pct"/>
            <w:tcBorders>
              <w:top w:val="single" w:sz="4" w:space="0" w:color="auto"/>
              <w:left w:val="nil"/>
              <w:bottom w:val="single" w:sz="4" w:space="0" w:color="auto"/>
              <w:right w:val="single" w:sz="4" w:space="0" w:color="auto"/>
            </w:tcBorders>
            <w:shd w:val="clear" w:color="auto" w:fill="auto"/>
            <w:vAlign w:val="center"/>
            <w:hideMark/>
          </w:tcPr>
          <w:p w:rsidR="00682C81" w:rsidRPr="00416E35" w:rsidRDefault="00682C81" w:rsidP="005C0120">
            <w:pPr>
              <w:jc w:val="center"/>
              <w:rPr>
                <w:rFonts w:cs="Calibri"/>
                <w:b/>
                <w:bCs/>
                <w:sz w:val="20"/>
                <w:szCs w:val="20"/>
              </w:rPr>
            </w:pPr>
            <w:r w:rsidRPr="00416E35">
              <w:rPr>
                <w:rFonts w:cs="Calibri"/>
                <w:b/>
                <w:bCs/>
                <w:sz w:val="20"/>
                <w:szCs w:val="20"/>
              </w:rPr>
              <w:t>Nazwa postać</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682C81" w:rsidRPr="00416E35" w:rsidRDefault="00682C81" w:rsidP="005C0120">
            <w:pPr>
              <w:jc w:val="center"/>
              <w:rPr>
                <w:rFonts w:cs="Calibri"/>
                <w:b/>
                <w:bCs/>
                <w:sz w:val="20"/>
                <w:szCs w:val="20"/>
              </w:rPr>
            </w:pPr>
            <w:r w:rsidRPr="00416E35">
              <w:rPr>
                <w:rFonts w:cs="Calibri"/>
                <w:b/>
                <w:bCs/>
                <w:sz w:val="20"/>
                <w:szCs w:val="20"/>
              </w:rPr>
              <w:t>j.m.</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Ilość</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C.j.netto</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682C81" w:rsidRPr="00416E35" w:rsidRDefault="00682C81" w:rsidP="005C0120">
            <w:pPr>
              <w:jc w:val="center"/>
              <w:rPr>
                <w:rFonts w:cs="Calibri"/>
                <w:b/>
                <w:bCs/>
                <w:sz w:val="20"/>
                <w:szCs w:val="20"/>
              </w:rPr>
            </w:pPr>
            <w:r w:rsidRPr="00416E35">
              <w:rPr>
                <w:rFonts w:cs="Calibri"/>
                <w:b/>
                <w:bCs/>
                <w:sz w:val="20"/>
                <w:szCs w:val="20"/>
              </w:rPr>
              <w:t xml:space="preserve">Wartość </w:t>
            </w:r>
            <w:r w:rsidRPr="00416E35">
              <w:rPr>
                <w:rFonts w:cs="Calibri"/>
                <w:b/>
                <w:bCs/>
                <w:sz w:val="20"/>
                <w:szCs w:val="20"/>
              </w:rPr>
              <w:br/>
              <w:t>netto</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682C81" w:rsidRPr="00416E35" w:rsidRDefault="00682C81" w:rsidP="005C0120">
            <w:pPr>
              <w:jc w:val="center"/>
              <w:rPr>
                <w:rFonts w:cs="Calibri"/>
                <w:b/>
                <w:bCs/>
                <w:sz w:val="20"/>
                <w:szCs w:val="20"/>
              </w:rPr>
            </w:pPr>
            <w:r w:rsidRPr="00416E35">
              <w:rPr>
                <w:rFonts w:cs="Calibri"/>
                <w:b/>
                <w:bCs/>
                <w:sz w:val="20"/>
                <w:szCs w:val="20"/>
              </w:rPr>
              <w:t xml:space="preserve">Stawka </w:t>
            </w:r>
            <w:r w:rsidRPr="00416E35">
              <w:rPr>
                <w:rFonts w:cs="Calibri"/>
                <w:b/>
                <w:bCs/>
                <w:sz w:val="20"/>
                <w:szCs w:val="20"/>
              </w:rPr>
              <w:br/>
              <w:t xml:space="preserve">podatku </w:t>
            </w:r>
            <w:r w:rsidRPr="00416E35">
              <w:rPr>
                <w:rFonts w:cs="Calibri"/>
                <w:b/>
                <w:bCs/>
                <w:sz w:val="20"/>
                <w:szCs w:val="20"/>
              </w:rPr>
              <w:br/>
              <w:t>VAT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C.j. brutto</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682C81" w:rsidRPr="00416E35" w:rsidRDefault="00682C81" w:rsidP="005C0120">
            <w:pPr>
              <w:jc w:val="center"/>
              <w:rPr>
                <w:rFonts w:cs="Calibri"/>
                <w:b/>
                <w:bCs/>
                <w:sz w:val="20"/>
                <w:szCs w:val="20"/>
              </w:rPr>
            </w:pPr>
            <w:r w:rsidRPr="00416E35">
              <w:rPr>
                <w:rFonts w:cs="Calibri"/>
                <w:b/>
                <w:bCs/>
                <w:sz w:val="20"/>
                <w:szCs w:val="20"/>
              </w:rPr>
              <w:t xml:space="preserve">Wartość </w:t>
            </w:r>
            <w:r w:rsidRPr="00416E35">
              <w:rPr>
                <w:rFonts w:cs="Calibri"/>
                <w:b/>
                <w:bCs/>
                <w:sz w:val="20"/>
                <w:szCs w:val="20"/>
              </w:rPr>
              <w:br/>
              <w:t>brutto</w:t>
            </w:r>
            <w:r w:rsidRPr="00416E35">
              <w:rPr>
                <w:rFonts w:cs="Calibri"/>
                <w:b/>
                <w:bCs/>
                <w:sz w:val="20"/>
                <w:szCs w:val="20"/>
              </w:rPr>
              <w:br/>
              <w:t>(wartość netto + VAT)</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82C81" w:rsidRPr="00416E35" w:rsidRDefault="00682C81" w:rsidP="005C0120">
            <w:pPr>
              <w:jc w:val="center"/>
              <w:rPr>
                <w:rFonts w:cs="Calibri"/>
                <w:b/>
                <w:bCs/>
                <w:sz w:val="20"/>
                <w:szCs w:val="20"/>
              </w:rPr>
            </w:pPr>
            <w:r w:rsidRPr="00416E35">
              <w:rPr>
                <w:rFonts w:cs="Calibri"/>
                <w:b/>
                <w:bCs/>
                <w:sz w:val="20"/>
                <w:szCs w:val="20"/>
              </w:rPr>
              <w:t>Nazwa handlowa</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Producent , Kod EAN</w:t>
            </w:r>
          </w:p>
        </w:tc>
      </w:tr>
      <w:tr w:rsidR="00682C81" w:rsidRPr="00662DF7" w:rsidTr="00682C81">
        <w:trPr>
          <w:trHeight w:val="390"/>
        </w:trPr>
        <w:tc>
          <w:tcPr>
            <w:tcW w:w="170" w:type="pct"/>
            <w:tcBorders>
              <w:top w:val="nil"/>
              <w:left w:val="single" w:sz="8" w:space="0" w:color="auto"/>
              <w:bottom w:val="nil"/>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1</w:t>
            </w:r>
          </w:p>
        </w:tc>
        <w:tc>
          <w:tcPr>
            <w:tcW w:w="1508" w:type="pct"/>
            <w:tcBorders>
              <w:top w:val="nil"/>
              <w:left w:val="nil"/>
              <w:bottom w:val="single" w:sz="4" w:space="0" w:color="auto"/>
              <w:right w:val="single" w:sz="4" w:space="0" w:color="auto"/>
            </w:tcBorders>
            <w:shd w:val="clear" w:color="auto" w:fill="auto"/>
            <w:vAlign w:val="bottom"/>
            <w:hideMark/>
          </w:tcPr>
          <w:p w:rsidR="00682C81" w:rsidRPr="00416E35" w:rsidRDefault="00682C81" w:rsidP="005C0120">
            <w:pPr>
              <w:jc w:val="center"/>
              <w:rPr>
                <w:rFonts w:cs="Calibri"/>
                <w:b/>
                <w:bCs/>
                <w:sz w:val="20"/>
                <w:szCs w:val="20"/>
              </w:rPr>
            </w:pPr>
            <w:r w:rsidRPr="00416E35">
              <w:rPr>
                <w:rFonts w:cs="Calibri"/>
                <w:b/>
                <w:bCs/>
                <w:sz w:val="20"/>
                <w:szCs w:val="20"/>
              </w:rPr>
              <w:t>2</w:t>
            </w:r>
          </w:p>
        </w:tc>
        <w:tc>
          <w:tcPr>
            <w:tcW w:w="351" w:type="pct"/>
            <w:tcBorders>
              <w:top w:val="nil"/>
              <w:left w:val="nil"/>
              <w:bottom w:val="nil"/>
              <w:right w:val="single" w:sz="4" w:space="0" w:color="auto"/>
            </w:tcBorders>
            <w:shd w:val="clear" w:color="auto" w:fill="auto"/>
            <w:vAlign w:val="center"/>
            <w:hideMark/>
          </w:tcPr>
          <w:p w:rsidR="00682C81" w:rsidRPr="00416E35" w:rsidRDefault="00682C81" w:rsidP="005C0120">
            <w:pPr>
              <w:jc w:val="center"/>
              <w:rPr>
                <w:rFonts w:cs="Calibri"/>
                <w:b/>
                <w:bCs/>
                <w:sz w:val="20"/>
                <w:szCs w:val="20"/>
              </w:rPr>
            </w:pPr>
            <w:r w:rsidRPr="00416E35">
              <w:rPr>
                <w:rFonts w:cs="Calibri"/>
                <w:b/>
                <w:bCs/>
                <w:sz w:val="20"/>
                <w:szCs w:val="20"/>
              </w:rPr>
              <w:t>3</w:t>
            </w:r>
          </w:p>
        </w:tc>
        <w:tc>
          <w:tcPr>
            <w:tcW w:w="289" w:type="pct"/>
            <w:tcBorders>
              <w:top w:val="nil"/>
              <w:left w:val="nil"/>
              <w:bottom w:val="nil"/>
              <w:right w:val="single" w:sz="4" w:space="0" w:color="auto"/>
            </w:tcBorders>
            <w:shd w:val="clear" w:color="auto" w:fill="auto"/>
            <w:noWrap/>
            <w:vAlign w:val="bottom"/>
            <w:hideMark/>
          </w:tcPr>
          <w:p w:rsidR="00682C81" w:rsidRPr="00416E35" w:rsidRDefault="00682C81" w:rsidP="005C0120">
            <w:pPr>
              <w:jc w:val="center"/>
              <w:rPr>
                <w:rFonts w:cs="Calibri"/>
                <w:b/>
                <w:bCs/>
                <w:sz w:val="20"/>
                <w:szCs w:val="20"/>
              </w:rPr>
            </w:pPr>
            <w:r w:rsidRPr="00416E35">
              <w:rPr>
                <w:rFonts w:cs="Calibri"/>
                <w:b/>
                <w:bCs/>
                <w:sz w:val="20"/>
                <w:szCs w:val="20"/>
              </w:rPr>
              <w:t>4</w:t>
            </w:r>
          </w:p>
        </w:tc>
        <w:tc>
          <w:tcPr>
            <w:tcW w:w="310" w:type="pct"/>
            <w:tcBorders>
              <w:top w:val="nil"/>
              <w:left w:val="nil"/>
              <w:bottom w:val="nil"/>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5</w:t>
            </w:r>
          </w:p>
        </w:tc>
        <w:tc>
          <w:tcPr>
            <w:tcW w:w="337" w:type="pct"/>
            <w:tcBorders>
              <w:top w:val="nil"/>
              <w:left w:val="nil"/>
              <w:bottom w:val="nil"/>
              <w:right w:val="single" w:sz="4" w:space="0" w:color="auto"/>
            </w:tcBorders>
            <w:shd w:val="clear" w:color="auto" w:fill="auto"/>
            <w:noWrap/>
            <w:vAlign w:val="bottom"/>
            <w:hideMark/>
          </w:tcPr>
          <w:p w:rsidR="00682C81" w:rsidRPr="00416E35" w:rsidRDefault="00682C81" w:rsidP="005C0120">
            <w:pPr>
              <w:jc w:val="center"/>
              <w:rPr>
                <w:rFonts w:cs="Calibri"/>
                <w:b/>
                <w:bCs/>
                <w:sz w:val="20"/>
                <w:szCs w:val="20"/>
              </w:rPr>
            </w:pPr>
            <w:r w:rsidRPr="00416E35">
              <w:rPr>
                <w:rFonts w:cs="Calibri"/>
                <w:b/>
                <w:bCs/>
                <w:sz w:val="20"/>
                <w:szCs w:val="20"/>
              </w:rPr>
              <w:t>6</w:t>
            </w:r>
          </w:p>
        </w:tc>
        <w:tc>
          <w:tcPr>
            <w:tcW w:w="298" w:type="pct"/>
            <w:tcBorders>
              <w:top w:val="nil"/>
              <w:left w:val="nil"/>
              <w:bottom w:val="nil"/>
              <w:right w:val="single" w:sz="4" w:space="0" w:color="auto"/>
            </w:tcBorders>
            <w:shd w:val="clear" w:color="auto" w:fill="auto"/>
            <w:noWrap/>
            <w:vAlign w:val="bottom"/>
            <w:hideMark/>
          </w:tcPr>
          <w:p w:rsidR="00682C81" w:rsidRPr="00416E35" w:rsidRDefault="00682C81" w:rsidP="005C0120">
            <w:pPr>
              <w:jc w:val="center"/>
              <w:rPr>
                <w:rFonts w:cs="Calibri"/>
                <w:b/>
                <w:bCs/>
                <w:sz w:val="20"/>
                <w:szCs w:val="20"/>
              </w:rPr>
            </w:pPr>
            <w:r w:rsidRPr="00416E35">
              <w:rPr>
                <w:rFonts w:cs="Calibri"/>
                <w:b/>
                <w:bCs/>
                <w:sz w:val="20"/>
                <w:szCs w:val="20"/>
              </w:rPr>
              <w:t>7</w:t>
            </w:r>
          </w:p>
        </w:tc>
        <w:tc>
          <w:tcPr>
            <w:tcW w:w="366" w:type="pct"/>
            <w:tcBorders>
              <w:top w:val="nil"/>
              <w:left w:val="nil"/>
              <w:bottom w:val="nil"/>
              <w:right w:val="single" w:sz="4" w:space="0" w:color="auto"/>
            </w:tcBorders>
            <w:shd w:val="clear" w:color="auto" w:fill="auto"/>
            <w:noWrap/>
            <w:vAlign w:val="bottom"/>
            <w:hideMark/>
          </w:tcPr>
          <w:p w:rsidR="00682C81" w:rsidRPr="00416E35" w:rsidRDefault="00682C81" w:rsidP="005C0120">
            <w:pPr>
              <w:jc w:val="center"/>
              <w:rPr>
                <w:rFonts w:cs="Calibri"/>
                <w:b/>
                <w:bCs/>
                <w:sz w:val="20"/>
                <w:szCs w:val="20"/>
              </w:rPr>
            </w:pPr>
            <w:r w:rsidRPr="00416E35">
              <w:rPr>
                <w:rFonts w:cs="Calibri"/>
                <w:b/>
                <w:bCs/>
                <w:sz w:val="20"/>
                <w:szCs w:val="20"/>
              </w:rPr>
              <w:t>8</w:t>
            </w:r>
          </w:p>
        </w:tc>
        <w:tc>
          <w:tcPr>
            <w:tcW w:w="323" w:type="pct"/>
            <w:tcBorders>
              <w:top w:val="nil"/>
              <w:left w:val="nil"/>
              <w:bottom w:val="nil"/>
              <w:right w:val="single" w:sz="4" w:space="0" w:color="auto"/>
            </w:tcBorders>
            <w:shd w:val="clear" w:color="auto" w:fill="auto"/>
            <w:noWrap/>
            <w:vAlign w:val="bottom"/>
            <w:hideMark/>
          </w:tcPr>
          <w:p w:rsidR="00682C81" w:rsidRPr="00416E35" w:rsidRDefault="00682C81" w:rsidP="005C0120">
            <w:pPr>
              <w:jc w:val="center"/>
              <w:rPr>
                <w:rFonts w:cs="Calibri"/>
                <w:b/>
                <w:bCs/>
                <w:sz w:val="20"/>
                <w:szCs w:val="20"/>
              </w:rPr>
            </w:pPr>
            <w:r w:rsidRPr="00416E35">
              <w:rPr>
                <w:rFonts w:cs="Calibri"/>
                <w:b/>
                <w:bCs/>
                <w:sz w:val="20"/>
                <w:szCs w:val="20"/>
              </w:rPr>
              <w:t>9</w:t>
            </w:r>
          </w:p>
        </w:tc>
        <w:tc>
          <w:tcPr>
            <w:tcW w:w="341" w:type="pct"/>
            <w:tcBorders>
              <w:top w:val="nil"/>
              <w:left w:val="nil"/>
              <w:bottom w:val="nil"/>
              <w:right w:val="single" w:sz="4" w:space="0" w:color="auto"/>
            </w:tcBorders>
            <w:shd w:val="clear" w:color="auto" w:fill="auto"/>
            <w:noWrap/>
            <w:vAlign w:val="bottom"/>
            <w:hideMark/>
          </w:tcPr>
          <w:p w:rsidR="00682C81" w:rsidRPr="00416E35" w:rsidRDefault="00682C81" w:rsidP="005C0120">
            <w:pPr>
              <w:jc w:val="center"/>
              <w:rPr>
                <w:rFonts w:cs="Calibri"/>
                <w:b/>
                <w:bCs/>
                <w:sz w:val="20"/>
                <w:szCs w:val="20"/>
              </w:rPr>
            </w:pPr>
            <w:r w:rsidRPr="00416E35">
              <w:rPr>
                <w:rFonts w:cs="Calibri"/>
                <w:b/>
                <w:bCs/>
                <w:sz w:val="20"/>
                <w:szCs w:val="20"/>
              </w:rPr>
              <w:t>10</w:t>
            </w:r>
          </w:p>
        </w:tc>
        <w:tc>
          <w:tcPr>
            <w:tcW w:w="706" w:type="pct"/>
            <w:tcBorders>
              <w:top w:val="nil"/>
              <w:left w:val="nil"/>
              <w:bottom w:val="nil"/>
              <w:right w:val="single" w:sz="8" w:space="0" w:color="auto"/>
            </w:tcBorders>
            <w:shd w:val="clear" w:color="auto" w:fill="auto"/>
            <w:noWrap/>
            <w:vAlign w:val="bottom"/>
            <w:hideMark/>
          </w:tcPr>
          <w:p w:rsidR="00682C81" w:rsidRPr="00416E35" w:rsidRDefault="00682C81" w:rsidP="005C0120">
            <w:pPr>
              <w:jc w:val="center"/>
              <w:rPr>
                <w:rFonts w:cs="Calibri"/>
                <w:b/>
                <w:bCs/>
                <w:sz w:val="20"/>
                <w:szCs w:val="20"/>
              </w:rPr>
            </w:pPr>
            <w:r w:rsidRPr="00416E35">
              <w:rPr>
                <w:rFonts w:cs="Calibri"/>
                <w:b/>
                <w:bCs/>
                <w:sz w:val="20"/>
                <w:szCs w:val="20"/>
              </w:rPr>
              <w:t>11</w:t>
            </w:r>
          </w:p>
        </w:tc>
      </w:tr>
      <w:tr w:rsidR="00682C81" w:rsidRPr="00662DF7" w:rsidTr="00682C81">
        <w:trPr>
          <w:trHeight w:val="1950"/>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sz w:val="20"/>
                <w:szCs w:val="20"/>
              </w:rPr>
            </w:pPr>
            <w:r w:rsidRPr="00416E35">
              <w:rPr>
                <w:rFonts w:cs="Calibri"/>
                <w:sz w:val="20"/>
                <w:szCs w:val="20"/>
              </w:rPr>
              <w:t>1.</w:t>
            </w:r>
          </w:p>
        </w:tc>
        <w:tc>
          <w:tcPr>
            <w:tcW w:w="1508" w:type="pct"/>
            <w:tcBorders>
              <w:top w:val="nil"/>
              <w:left w:val="nil"/>
              <w:bottom w:val="nil"/>
              <w:right w:val="nil"/>
            </w:tcBorders>
            <w:shd w:val="clear" w:color="auto" w:fill="auto"/>
            <w:vAlign w:val="bottom"/>
            <w:hideMark/>
          </w:tcPr>
          <w:p w:rsidR="00682C81" w:rsidRPr="00416E35" w:rsidRDefault="00682C81" w:rsidP="005C0120">
            <w:pPr>
              <w:rPr>
                <w:rFonts w:cs="Calibri"/>
                <w:sz w:val="20"/>
                <w:szCs w:val="20"/>
              </w:rPr>
            </w:pPr>
            <w:r w:rsidRPr="00416E35">
              <w:rPr>
                <w:rFonts w:cs="Calibri"/>
                <w:sz w:val="20"/>
                <w:szCs w:val="20"/>
              </w:rPr>
              <w:t>Kwaśny polisacharyd o średniej masie cząsteczkowej 15 000 daltonów ( 500 IU ) o właściwościach przeciwzakrzepowych. Stosowany w celu zapobiegania niedrożności w portach oraz  wprowadzanych cewnikach. Zalecany do płukania i zamykania centralnych i obwodowych dostępów naczyniowych  5 ml x 10 amp.</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C81" w:rsidRPr="00416E35" w:rsidRDefault="00682C81" w:rsidP="005C0120">
            <w:pPr>
              <w:jc w:val="center"/>
              <w:rPr>
                <w:rFonts w:cs="Calibri"/>
                <w:sz w:val="20"/>
                <w:szCs w:val="20"/>
              </w:rPr>
            </w:pPr>
            <w:r w:rsidRPr="00416E35">
              <w:rPr>
                <w:rFonts w:cs="Calibri"/>
                <w:sz w:val="20"/>
                <w:szCs w:val="20"/>
              </w:rPr>
              <w:t>op.</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sz w:val="20"/>
                <w:szCs w:val="20"/>
              </w:rPr>
            </w:pPr>
            <w:r w:rsidRPr="00416E35">
              <w:rPr>
                <w:rFonts w:cs="Calibri"/>
                <w:sz w:val="20"/>
                <w:szCs w:val="20"/>
              </w:rPr>
              <w:t>150</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682C81" w:rsidRPr="00416E35" w:rsidRDefault="00682C81" w:rsidP="005C0120">
            <w:pPr>
              <w:jc w:val="right"/>
              <w:rPr>
                <w:rFonts w:cs="Calibri"/>
                <w:sz w:val="20"/>
                <w:szCs w:val="20"/>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sz w:val="20"/>
                <w:szCs w:val="20"/>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sz w:val="20"/>
                <w:szCs w:val="20"/>
              </w:rPr>
            </w:pP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sz w:val="20"/>
                <w:szCs w:val="20"/>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sz w:val="20"/>
                <w:szCs w:val="20"/>
              </w:rPr>
            </w:pPr>
            <w:r w:rsidRPr="00416E35">
              <w:rPr>
                <w:rFonts w:cs="Calibri"/>
                <w:sz w:val="20"/>
                <w:szCs w:val="20"/>
              </w:rPr>
              <w:t> </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sz w:val="20"/>
                <w:szCs w:val="20"/>
              </w:rPr>
            </w:pPr>
            <w:r w:rsidRPr="00416E35">
              <w:rPr>
                <w:rFonts w:cs="Calibri"/>
                <w:sz w:val="20"/>
                <w:szCs w:val="20"/>
              </w:rPr>
              <w:t> </w:t>
            </w:r>
          </w:p>
        </w:tc>
      </w:tr>
      <w:tr w:rsidR="00682C81" w:rsidRPr="00662DF7" w:rsidTr="00682C81">
        <w:trPr>
          <w:trHeight w:val="54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 </w:t>
            </w:r>
          </w:p>
        </w:tc>
        <w:tc>
          <w:tcPr>
            <w:tcW w:w="1508" w:type="pct"/>
            <w:tcBorders>
              <w:top w:val="single" w:sz="4" w:space="0" w:color="auto"/>
              <w:left w:val="nil"/>
              <w:bottom w:val="single" w:sz="4" w:space="0" w:color="auto"/>
              <w:right w:val="single" w:sz="4" w:space="0" w:color="auto"/>
            </w:tcBorders>
            <w:shd w:val="clear" w:color="auto" w:fill="auto"/>
            <w:hideMark/>
          </w:tcPr>
          <w:p w:rsidR="00682C81" w:rsidRPr="00416E35" w:rsidRDefault="00682C81" w:rsidP="005C0120">
            <w:pPr>
              <w:rPr>
                <w:rFonts w:cs="Calibri"/>
                <w:b/>
                <w:bCs/>
                <w:sz w:val="20"/>
                <w:szCs w:val="20"/>
              </w:rPr>
            </w:pPr>
            <w:r w:rsidRPr="00416E35">
              <w:rPr>
                <w:rFonts w:cs="Calibri"/>
                <w:b/>
                <w:bCs/>
                <w:sz w:val="20"/>
                <w:szCs w:val="20"/>
              </w:rPr>
              <w:t>Razem</w:t>
            </w:r>
          </w:p>
        </w:tc>
        <w:tc>
          <w:tcPr>
            <w:tcW w:w="351" w:type="pct"/>
            <w:tcBorders>
              <w:top w:val="nil"/>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 </w:t>
            </w:r>
          </w:p>
        </w:tc>
        <w:tc>
          <w:tcPr>
            <w:tcW w:w="337" w:type="pct"/>
            <w:tcBorders>
              <w:top w:val="nil"/>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b/>
                <w:bCs/>
                <w:sz w:val="20"/>
                <w:szCs w:val="20"/>
              </w:rPr>
            </w:pPr>
          </w:p>
        </w:tc>
        <w:tc>
          <w:tcPr>
            <w:tcW w:w="298" w:type="pct"/>
            <w:tcBorders>
              <w:top w:val="nil"/>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b/>
                <w:bCs/>
                <w:sz w:val="20"/>
                <w:szCs w:val="20"/>
              </w:rPr>
            </w:pPr>
          </w:p>
        </w:tc>
        <w:tc>
          <w:tcPr>
            <w:tcW w:w="366" w:type="pct"/>
            <w:tcBorders>
              <w:top w:val="nil"/>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b/>
                <w:bCs/>
                <w:sz w:val="20"/>
                <w:szCs w:val="20"/>
              </w:rPr>
            </w:pPr>
          </w:p>
        </w:tc>
        <w:tc>
          <w:tcPr>
            <w:tcW w:w="323" w:type="pct"/>
            <w:tcBorders>
              <w:top w:val="nil"/>
              <w:left w:val="nil"/>
              <w:bottom w:val="single" w:sz="4" w:space="0" w:color="auto"/>
              <w:right w:val="single" w:sz="4" w:space="0" w:color="auto"/>
            </w:tcBorders>
            <w:shd w:val="clear" w:color="auto" w:fill="auto"/>
            <w:noWrap/>
            <w:vAlign w:val="center"/>
          </w:tcPr>
          <w:p w:rsidR="00682C81" w:rsidRPr="00416E35" w:rsidRDefault="00682C81" w:rsidP="005C0120">
            <w:pPr>
              <w:jc w:val="center"/>
              <w:rPr>
                <w:rFonts w:cs="Calibri"/>
                <w:b/>
                <w:bCs/>
                <w:sz w:val="20"/>
                <w:szCs w:val="20"/>
              </w:rPr>
            </w:pPr>
          </w:p>
        </w:tc>
        <w:tc>
          <w:tcPr>
            <w:tcW w:w="341" w:type="pct"/>
            <w:tcBorders>
              <w:top w:val="nil"/>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 </w:t>
            </w:r>
          </w:p>
        </w:tc>
        <w:tc>
          <w:tcPr>
            <w:tcW w:w="706" w:type="pct"/>
            <w:tcBorders>
              <w:top w:val="nil"/>
              <w:left w:val="nil"/>
              <w:bottom w:val="single" w:sz="4" w:space="0" w:color="auto"/>
              <w:right w:val="single" w:sz="4" w:space="0" w:color="auto"/>
            </w:tcBorders>
            <w:shd w:val="clear" w:color="auto" w:fill="auto"/>
            <w:noWrap/>
            <w:vAlign w:val="center"/>
            <w:hideMark/>
          </w:tcPr>
          <w:p w:rsidR="00682C81" w:rsidRPr="00416E35" w:rsidRDefault="00682C81" w:rsidP="005C0120">
            <w:pPr>
              <w:jc w:val="center"/>
              <w:rPr>
                <w:rFonts w:cs="Calibri"/>
                <w:b/>
                <w:bCs/>
                <w:sz w:val="20"/>
                <w:szCs w:val="20"/>
              </w:rPr>
            </w:pPr>
            <w:r w:rsidRPr="00416E35">
              <w:rPr>
                <w:rFonts w:cs="Calibri"/>
                <w:b/>
                <w:bCs/>
                <w:sz w:val="20"/>
                <w:szCs w:val="20"/>
              </w:rPr>
              <w:t> </w:t>
            </w:r>
          </w:p>
        </w:tc>
      </w:tr>
    </w:tbl>
    <w:p w:rsidR="00682C81" w:rsidRDefault="00682C81" w:rsidP="00682C81"/>
    <w:p w:rsidR="00AE44C6" w:rsidRDefault="00AE44C6" w:rsidP="00A407F6">
      <w:pPr>
        <w:tabs>
          <w:tab w:val="left" w:pos="9072"/>
        </w:tabs>
        <w:spacing w:line="480" w:lineRule="auto"/>
        <w:jc w:val="both"/>
        <w:rPr>
          <w:rFonts w:ascii="Cambria" w:hAnsi="Cambria" w:cs="Arial"/>
          <w:bCs/>
          <w:sz w:val="20"/>
          <w:szCs w:val="20"/>
        </w:rPr>
      </w:pP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Termin dostawy: ………………. dni.(max. 48 godzin)</w:t>
      </w:r>
    </w:p>
    <w:p w:rsidR="00AE44C6" w:rsidRPr="00AE44C6" w:rsidRDefault="00AE44C6" w:rsidP="00AE44C6">
      <w:pPr>
        <w:tabs>
          <w:tab w:val="left" w:pos="9072"/>
        </w:tabs>
        <w:spacing w:line="480" w:lineRule="auto"/>
        <w:jc w:val="both"/>
        <w:rPr>
          <w:rFonts w:ascii="Cambria" w:hAnsi="Cambria" w:cs="Arial"/>
          <w:b/>
          <w:bCs/>
          <w:sz w:val="20"/>
          <w:szCs w:val="20"/>
        </w:rPr>
      </w:pPr>
      <w:r w:rsidRPr="00AE44C6">
        <w:rPr>
          <w:rFonts w:ascii="Cambria" w:hAnsi="Cambria" w:cs="Arial"/>
          <w:b/>
          <w:bCs/>
          <w:sz w:val="20"/>
          <w:szCs w:val="20"/>
        </w:rPr>
        <w:t>Osoba/y upoważniona/e do kontaktu:</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Nr tel. …………………………….</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Nr fax…………………………….</w:t>
      </w: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mail ………………..…………….</w:t>
      </w:r>
    </w:p>
    <w:p w:rsidR="00AE44C6" w:rsidRPr="00AE44C6" w:rsidRDefault="00AE44C6" w:rsidP="00AE44C6">
      <w:pPr>
        <w:tabs>
          <w:tab w:val="left" w:pos="9072"/>
        </w:tabs>
        <w:spacing w:line="480" w:lineRule="auto"/>
        <w:jc w:val="both"/>
        <w:rPr>
          <w:rFonts w:ascii="Cambria" w:hAnsi="Cambria" w:cs="Arial"/>
          <w:bCs/>
          <w:sz w:val="20"/>
          <w:szCs w:val="20"/>
        </w:rPr>
      </w:pPr>
    </w:p>
    <w:p w:rsidR="00AE44C6" w:rsidRPr="00AE44C6" w:rsidRDefault="00AE44C6" w:rsidP="00AE44C6">
      <w:pPr>
        <w:tabs>
          <w:tab w:val="left" w:pos="9072"/>
        </w:tabs>
        <w:spacing w:line="480" w:lineRule="auto"/>
        <w:jc w:val="both"/>
        <w:rPr>
          <w:rFonts w:ascii="Cambria" w:hAnsi="Cambria" w:cs="Arial"/>
          <w:bCs/>
          <w:sz w:val="20"/>
          <w:szCs w:val="20"/>
        </w:rPr>
      </w:pPr>
      <w:r w:rsidRPr="00AE44C6">
        <w:rPr>
          <w:rFonts w:ascii="Cambria" w:hAnsi="Cambria" w:cs="Arial"/>
          <w:bCs/>
          <w:sz w:val="20"/>
          <w:szCs w:val="20"/>
        </w:rPr>
        <w:t xml:space="preserve">                                                                                                                                                                         …………………………………………</w:t>
      </w:r>
    </w:p>
    <w:p w:rsidR="00AE44C6" w:rsidRPr="00AE44C6" w:rsidRDefault="00AE44C6" w:rsidP="00AE44C6">
      <w:pPr>
        <w:tabs>
          <w:tab w:val="left" w:pos="9072"/>
        </w:tabs>
        <w:spacing w:line="480" w:lineRule="auto"/>
        <w:jc w:val="both"/>
        <w:rPr>
          <w:rFonts w:ascii="Cambria" w:hAnsi="Cambria" w:cs="Arial"/>
          <w:bCs/>
          <w:i/>
          <w:sz w:val="20"/>
          <w:szCs w:val="20"/>
        </w:rPr>
      </w:pPr>
      <w:r w:rsidRPr="00AE44C6">
        <w:rPr>
          <w:rFonts w:ascii="Cambria" w:hAnsi="Cambria" w:cs="Arial"/>
          <w:bCs/>
          <w:i/>
          <w:sz w:val="20"/>
          <w:szCs w:val="20"/>
        </w:rPr>
        <w:t xml:space="preserve">                                                                                                                                                                                                    (podpis)</w:t>
      </w:r>
    </w:p>
    <w:p w:rsidR="00AE44C6" w:rsidRPr="00A407F6" w:rsidRDefault="00AE44C6" w:rsidP="00A407F6">
      <w:pPr>
        <w:tabs>
          <w:tab w:val="left" w:pos="9072"/>
        </w:tabs>
        <w:spacing w:line="480" w:lineRule="auto"/>
        <w:jc w:val="both"/>
        <w:rPr>
          <w:rFonts w:ascii="Cambria" w:hAnsi="Cambria" w:cs="Arial"/>
          <w:bCs/>
          <w:sz w:val="20"/>
          <w:szCs w:val="20"/>
        </w:rPr>
        <w:sectPr w:rsidR="00AE44C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BF6BFA">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BF6BFA">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BF6BFA">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BF6BFA">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BF6BFA">
      <w:pPr>
        <w:numPr>
          <w:ilvl w:val="0"/>
          <w:numId w:val="27"/>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BF6BFA">
      <w:pPr>
        <w:numPr>
          <w:ilvl w:val="0"/>
          <w:numId w:val="27"/>
        </w:numPr>
        <w:spacing w:line="360" w:lineRule="auto"/>
        <w:ind w:hanging="1876"/>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BF6BFA">
      <w:pPr>
        <w:numPr>
          <w:ilvl w:val="0"/>
          <w:numId w:val="27"/>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BF6BFA">
      <w:pPr>
        <w:numPr>
          <w:ilvl w:val="0"/>
          <w:numId w:val="27"/>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BF6BFA">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BF6BFA">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1F3A90" w:rsidRPr="00CD3555" w:rsidRDefault="001F3A90" w:rsidP="001F3A90">
      <w:pPr>
        <w:spacing w:line="480" w:lineRule="auto"/>
        <w:ind w:left="5246" w:firstLine="708"/>
        <w:jc w:val="center"/>
        <w:rPr>
          <w:rFonts w:ascii="Cambria" w:hAnsi="Cambria" w:cs="Arial"/>
          <w:b/>
          <w:sz w:val="21"/>
          <w:szCs w:val="21"/>
        </w:rPr>
      </w:pPr>
      <w:r>
        <w:rPr>
          <w:rFonts w:ascii="Cambria" w:hAnsi="Cambria" w:cs="Arial"/>
        </w:rPr>
        <w:t xml:space="preserve">         </w:t>
      </w:r>
      <w:r>
        <w:rPr>
          <w:rFonts w:ascii="Cambria" w:hAnsi="Cambria" w:cs="Arial"/>
          <w:b/>
          <w:sz w:val="21"/>
          <w:szCs w:val="21"/>
        </w:rPr>
        <w:t>Załącznik nr 3 do SWZ</w:t>
      </w:r>
    </w:p>
    <w:p w:rsidR="001F3A90" w:rsidRDefault="001F3A90" w:rsidP="001F3A90">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1F3A90" w:rsidRDefault="001F3A90" w:rsidP="001F3A90">
      <w:pPr>
        <w:keepNext/>
        <w:tabs>
          <w:tab w:val="left" w:pos="0"/>
        </w:tabs>
        <w:ind w:hanging="432"/>
        <w:jc w:val="center"/>
        <w:rPr>
          <w:b/>
        </w:rPr>
      </w:pPr>
      <w:r w:rsidRPr="00D94097">
        <w:rPr>
          <w:b/>
        </w:rPr>
        <w:t>UMOWA   SPRZEDAŻY</w:t>
      </w:r>
    </w:p>
    <w:p w:rsidR="001F3A90" w:rsidRPr="00D94097" w:rsidRDefault="001F3A90" w:rsidP="001F3A90">
      <w:pPr>
        <w:keepNext/>
        <w:tabs>
          <w:tab w:val="left" w:pos="0"/>
        </w:tabs>
        <w:ind w:hanging="432"/>
        <w:jc w:val="center"/>
      </w:pPr>
    </w:p>
    <w:p w:rsidR="001F3A90" w:rsidRDefault="001F3A90" w:rsidP="001F3A90">
      <w:pPr>
        <w:keepNext/>
        <w:tabs>
          <w:tab w:val="left" w:pos="0"/>
        </w:tabs>
        <w:ind w:hanging="432"/>
        <w:jc w:val="center"/>
        <w:rPr>
          <w:b/>
        </w:rPr>
      </w:pPr>
      <w:r w:rsidRPr="00D94097">
        <w:rPr>
          <w:b/>
        </w:rPr>
        <w:t>SZSPOO.SZPiGM 3810/</w:t>
      </w:r>
      <w:r>
        <w:rPr>
          <w:b/>
        </w:rPr>
        <w:t>51/2022</w:t>
      </w:r>
    </w:p>
    <w:p w:rsidR="001F3A90" w:rsidRPr="00D94097" w:rsidRDefault="001F3A90" w:rsidP="001F3A90">
      <w:pPr>
        <w:keepNext/>
        <w:tabs>
          <w:tab w:val="left" w:pos="0"/>
        </w:tabs>
        <w:ind w:hanging="432"/>
        <w:jc w:val="center"/>
      </w:pPr>
    </w:p>
    <w:p w:rsidR="001F3A90" w:rsidRPr="00D94097" w:rsidRDefault="001F3A90" w:rsidP="001F3A90">
      <w:pPr>
        <w:jc w:val="both"/>
        <w:rPr>
          <w:b/>
        </w:rPr>
      </w:pPr>
    </w:p>
    <w:p w:rsidR="001F3A90" w:rsidRPr="00D94097" w:rsidRDefault="001F3A90" w:rsidP="001F3A90">
      <w:pPr>
        <w:jc w:val="both"/>
      </w:pPr>
      <w:r w:rsidRPr="00D94097">
        <w:t>zawarta w Brzozowie, w dniu …………………  pomiędzy:</w:t>
      </w:r>
    </w:p>
    <w:p w:rsidR="001F3A90" w:rsidRPr="00D94097" w:rsidRDefault="001F3A90" w:rsidP="001F3A90">
      <w:pPr>
        <w:jc w:val="both"/>
      </w:pPr>
      <w:r w:rsidRPr="00D94097">
        <w:t>Szpitalem Specjalistycznym w Brzozowie Podkarpackim Ośrodkiem Onkologicznym im. ks. B. Markiewicza, 36-200 Brzozów, ul. Ks. J. Bielawskiego 18, zarejestrowanym w Krajowym Rejestrze Sądowym pod numerem KRS 0000007954, reprezentowanym przez:</w:t>
      </w:r>
    </w:p>
    <w:p w:rsidR="001F3A90" w:rsidRPr="00D94097" w:rsidRDefault="001F3A90" w:rsidP="001F3A90">
      <w:pPr>
        <w:jc w:val="both"/>
      </w:pPr>
      <w:r w:rsidRPr="00D94097">
        <w:t>lek. Tomasza Kondraciuka</w:t>
      </w:r>
      <w:r>
        <w:t xml:space="preserve"> MBA</w:t>
      </w:r>
      <w:r w:rsidRPr="00D94097">
        <w:t xml:space="preserve"> – Dyrektora</w:t>
      </w:r>
    </w:p>
    <w:p w:rsidR="001F3A90" w:rsidRPr="00D94097" w:rsidRDefault="001F3A90" w:rsidP="001F3A90">
      <w:pPr>
        <w:jc w:val="both"/>
      </w:pPr>
      <w:r w:rsidRPr="00D94097">
        <w:t>zwanym w dalszej części umowy „Kupującym”</w:t>
      </w:r>
    </w:p>
    <w:p w:rsidR="001F3A90" w:rsidRPr="00D94097" w:rsidRDefault="001F3A90" w:rsidP="001F3A90">
      <w:pPr>
        <w:jc w:val="both"/>
      </w:pPr>
      <w:r w:rsidRPr="00D94097">
        <w:t>a</w:t>
      </w:r>
    </w:p>
    <w:p w:rsidR="001F3A90" w:rsidRPr="00D94097" w:rsidRDefault="001F3A90" w:rsidP="001F3A90">
      <w:pPr>
        <w:widowControl w:val="0"/>
        <w:jc w:val="both"/>
        <w:rPr>
          <w:rFonts w:eastAsia="Lucida Sans Unicode" w:cs="Tahoma"/>
          <w:kern w:val="2"/>
        </w:rPr>
      </w:pPr>
      <w:r w:rsidRPr="00D94097">
        <w:rPr>
          <w:kern w:val="2"/>
        </w:rPr>
        <w:t>……………………………………………………………………………………………………………………………………………………………………………………………………</w:t>
      </w:r>
    </w:p>
    <w:p w:rsidR="001F3A90" w:rsidRPr="00D94097" w:rsidRDefault="001F3A90" w:rsidP="001F3A90">
      <w:pPr>
        <w:widowControl w:val="0"/>
        <w:jc w:val="both"/>
        <w:rPr>
          <w:rFonts w:eastAsia="Lucida Sans Unicode" w:cs="Tahoma"/>
          <w:kern w:val="2"/>
        </w:rPr>
      </w:pPr>
      <w:r w:rsidRPr="00D94097">
        <w:rPr>
          <w:kern w:val="2"/>
        </w:rPr>
        <w:t>reprezentowanym przez:</w:t>
      </w:r>
    </w:p>
    <w:p w:rsidR="001F3A90" w:rsidRPr="00D94097" w:rsidRDefault="001F3A90" w:rsidP="001F3A90">
      <w:pPr>
        <w:widowControl w:val="0"/>
        <w:jc w:val="both"/>
        <w:rPr>
          <w:rFonts w:eastAsia="Lucida Sans Unicode" w:cs="Tahoma"/>
          <w:kern w:val="2"/>
        </w:rPr>
      </w:pPr>
      <w:r w:rsidRPr="00D94097">
        <w:rPr>
          <w:kern w:val="2"/>
        </w:rPr>
        <w:t>………………………………………….…….</w:t>
      </w:r>
    </w:p>
    <w:p w:rsidR="001F3A90" w:rsidRPr="00D94097" w:rsidRDefault="001F3A90" w:rsidP="001F3A90">
      <w:pPr>
        <w:widowControl w:val="0"/>
        <w:jc w:val="both"/>
        <w:rPr>
          <w:rFonts w:eastAsia="Lucida Sans Unicode" w:cs="Tahoma"/>
          <w:kern w:val="2"/>
        </w:rPr>
      </w:pPr>
      <w:r w:rsidRPr="00D94097">
        <w:rPr>
          <w:kern w:val="2"/>
        </w:rPr>
        <w:t>…………………………………………..…....</w:t>
      </w:r>
    </w:p>
    <w:p w:rsidR="001F3A90" w:rsidRPr="00D94097" w:rsidRDefault="001F3A90" w:rsidP="001F3A90">
      <w:pPr>
        <w:widowControl w:val="0"/>
        <w:jc w:val="both"/>
        <w:rPr>
          <w:rFonts w:eastAsia="Lucida Sans Unicode" w:cs="Tahoma"/>
          <w:kern w:val="2"/>
        </w:rPr>
      </w:pPr>
      <w:r w:rsidRPr="00D94097">
        <w:rPr>
          <w:kern w:val="2"/>
        </w:rPr>
        <w:t>zwanym w dalszej części umowy ,,Sprzedającym”.</w:t>
      </w:r>
    </w:p>
    <w:p w:rsidR="001F3A90" w:rsidRPr="00D94097" w:rsidRDefault="001F3A90" w:rsidP="001F3A90"/>
    <w:p w:rsidR="001F3A90" w:rsidRPr="00D94097" w:rsidRDefault="001F3A90" w:rsidP="001F3A90">
      <w:pPr>
        <w:jc w:val="center"/>
      </w:pPr>
      <w:r w:rsidRPr="00D94097">
        <w:t>§ 1</w:t>
      </w:r>
    </w:p>
    <w:p w:rsidR="001F3A90" w:rsidRPr="00D94097" w:rsidRDefault="001F3A90" w:rsidP="001F3A90">
      <w:pPr>
        <w:jc w:val="center"/>
      </w:pPr>
    </w:p>
    <w:p w:rsidR="001F3A90" w:rsidRPr="00D94097" w:rsidRDefault="001F3A90" w:rsidP="00BF6BFA">
      <w:pPr>
        <w:numPr>
          <w:ilvl w:val="0"/>
          <w:numId w:val="44"/>
        </w:numPr>
        <w:suppressAutoHyphens/>
        <w:jc w:val="both"/>
      </w:pPr>
      <w:r w:rsidRPr="00D94097">
        <w:t>Sprzedający sprzedaje a Kupujący kupuje środki dezynfekcyjne w ilości, asortymencie i cenie zgodnie z ofertą stanowiącą załącznik nr 1 do niniejszej umowy, zwane w dalszej części umowy przedmiotem sprzedaży.</w:t>
      </w:r>
    </w:p>
    <w:p w:rsidR="001F3A90" w:rsidRPr="00D94097" w:rsidRDefault="001F3A90" w:rsidP="00BF6BFA">
      <w:pPr>
        <w:numPr>
          <w:ilvl w:val="0"/>
          <w:numId w:val="44"/>
        </w:numPr>
        <w:suppressAutoHyphens/>
        <w:jc w:val="both"/>
      </w:pPr>
      <w:r w:rsidRPr="00D94097">
        <w:t>Sprzedający oświadcza, że przedmiot sprzedaży spełnia wszelkie wymagania norm i przepisów odnoszących się do wyrobów tego typu.</w:t>
      </w:r>
    </w:p>
    <w:p w:rsidR="001F3A90" w:rsidRPr="00D94097" w:rsidRDefault="001F3A90" w:rsidP="00BF6BFA">
      <w:pPr>
        <w:numPr>
          <w:ilvl w:val="0"/>
          <w:numId w:val="44"/>
        </w:numPr>
        <w:suppressAutoHyphens/>
        <w:jc w:val="both"/>
      </w:pPr>
      <w:r w:rsidRPr="00D94097">
        <w:t>Umowa została zawarta na czas określony 12 miesięcy tj. od dnia ……………... do dnia …………………</w:t>
      </w:r>
      <w:r>
        <w:t xml:space="preserve"> z możliwością jej przedłużenia za zgodą obu Stron w formie aneksu do 24 miesięcy.</w:t>
      </w:r>
    </w:p>
    <w:p w:rsidR="001F3A90" w:rsidRPr="00D94097" w:rsidRDefault="001F3A90" w:rsidP="00BF6BFA">
      <w:pPr>
        <w:numPr>
          <w:ilvl w:val="0"/>
          <w:numId w:val="44"/>
        </w:numPr>
        <w:suppressAutoHyphens/>
        <w:jc w:val="both"/>
      </w:pPr>
      <w:r w:rsidRPr="00D94097">
        <w:t>Każdej ze stron umowy przysługuje prawo wypowiedzenia umowy z zachowaniem 1-miesięcznego terminu wypowiedzenia.</w:t>
      </w:r>
    </w:p>
    <w:p w:rsidR="001F3A90" w:rsidRPr="00D94097" w:rsidRDefault="001F3A90" w:rsidP="001F3A90"/>
    <w:p w:rsidR="001F3A90" w:rsidRPr="00D94097" w:rsidRDefault="001F3A90" w:rsidP="001F3A90">
      <w:pPr>
        <w:jc w:val="center"/>
      </w:pPr>
      <w:r w:rsidRPr="00D94097">
        <w:t>§ 2</w:t>
      </w:r>
    </w:p>
    <w:p w:rsidR="001F3A90" w:rsidRPr="00D94097" w:rsidRDefault="001F3A90" w:rsidP="001F3A90">
      <w:pPr>
        <w:jc w:val="center"/>
      </w:pPr>
    </w:p>
    <w:p w:rsidR="001F3A90" w:rsidRPr="00D94097" w:rsidRDefault="001F3A90" w:rsidP="00BF6BFA">
      <w:pPr>
        <w:numPr>
          <w:ilvl w:val="0"/>
          <w:numId w:val="41"/>
        </w:numPr>
        <w:tabs>
          <w:tab w:val="num" w:pos="0"/>
        </w:tabs>
        <w:suppressAutoHyphens/>
        <w:ind w:left="0" w:hanging="284"/>
        <w:jc w:val="both"/>
      </w:pPr>
      <w:r w:rsidRPr="00D94097">
        <w:t xml:space="preserve">Strony ustalają łączną wartość przedmiotu sprzedaży, określonego w § 1, na kwotę: </w:t>
      </w:r>
      <w:r>
        <w:t>………</w:t>
      </w:r>
      <w:r w:rsidRPr="00D94097">
        <w:t xml:space="preserve">………….. PLN brutto </w:t>
      </w:r>
    </w:p>
    <w:p w:rsidR="001F3A90" w:rsidRPr="00D94097" w:rsidRDefault="001F3A90" w:rsidP="00BF6BFA">
      <w:pPr>
        <w:numPr>
          <w:ilvl w:val="0"/>
          <w:numId w:val="41"/>
        </w:numPr>
        <w:tabs>
          <w:tab w:val="num" w:pos="0"/>
        </w:tabs>
        <w:suppressAutoHyphens/>
        <w:ind w:left="0" w:hanging="284"/>
        <w:jc w:val="both"/>
      </w:pPr>
      <w:r w:rsidRPr="00D94097">
        <w:t>Kwota wymieniona w § 2 ust. 1 niniejszej umowy obejmuje wszelkie koszty związane z zakupem przedmiotów objętych umową, wymienionych w § 1 ust. 1.</w:t>
      </w:r>
    </w:p>
    <w:p w:rsidR="001F3A90" w:rsidRPr="00D94097" w:rsidRDefault="001F3A90" w:rsidP="00BF6BFA">
      <w:pPr>
        <w:numPr>
          <w:ilvl w:val="0"/>
          <w:numId w:val="41"/>
        </w:numPr>
        <w:tabs>
          <w:tab w:val="num" w:pos="0"/>
        </w:tabs>
        <w:suppressAutoHyphens/>
        <w:ind w:left="0" w:hanging="284"/>
        <w:jc w:val="both"/>
      </w:pPr>
      <w:r w:rsidRPr="00D94097">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Apteki Kupującego (Bielawskiego 18, Brzozów), w terminie </w:t>
      </w:r>
      <w:r>
        <w:t>określonym w załączniku nr 1 do umowy.</w:t>
      </w:r>
    </w:p>
    <w:p w:rsidR="001F3A90" w:rsidRPr="00D94097" w:rsidRDefault="001F3A90" w:rsidP="00BF6BFA">
      <w:pPr>
        <w:numPr>
          <w:ilvl w:val="0"/>
          <w:numId w:val="41"/>
        </w:numPr>
        <w:tabs>
          <w:tab w:val="num" w:pos="0"/>
        </w:tabs>
        <w:suppressAutoHyphens/>
        <w:ind w:left="0" w:hanging="284"/>
        <w:jc w:val="both"/>
      </w:pPr>
      <w:r w:rsidRPr="00D94097">
        <w:t>Termin ważności dostarczanego przedmiotu sprzedaży nie może być krótszy niż 12 miesięcy przed jego upływem licząc od daty dostawy.</w:t>
      </w:r>
    </w:p>
    <w:p w:rsidR="001F3A90" w:rsidRPr="00D94097" w:rsidRDefault="001F3A90" w:rsidP="00BF6BFA">
      <w:pPr>
        <w:numPr>
          <w:ilvl w:val="0"/>
          <w:numId w:val="41"/>
        </w:numPr>
        <w:tabs>
          <w:tab w:val="num" w:pos="0"/>
        </w:tabs>
        <w:suppressAutoHyphens/>
        <w:ind w:left="0" w:hanging="284"/>
        <w:jc w:val="both"/>
      </w:pPr>
      <w:r w:rsidRPr="00D94097">
        <w:t>Sprzedający zastrzega sobie prawo nabycia u osoby trzeciej, niedostarczonego w terminie lub dostarczonego z wadą, przedmiotu sprzedaży będących przedmiotem danego zamówienia, tożsamym co do rodzaju (o identycznej nazwie międzynarodowej lub takim samym zakresie zastosowania),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1F3A90" w:rsidRPr="00D94097" w:rsidRDefault="001F3A90" w:rsidP="00BF6BFA">
      <w:pPr>
        <w:numPr>
          <w:ilvl w:val="0"/>
          <w:numId w:val="41"/>
        </w:numPr>
        <w:tabs>
          <w:tab w:val="num" w:pos="0"/>
        </w:tabs>
        <w:suppressAutoHyphens/>
        <w:ind w:left="0" w:hanging="284"/>
        <w:jc w:val="both"/>
      </w:pPr>
      <w:r w:rsidRPr="00D94097">
        <w:t>W przypadku gdy dzień dostawy przypada w dniu wolnym od pracy, termin dostawy upływa w pierwszym dniu roboczym po dniu wolnym od pracy.</w:t>
      </w:r>
    </w:p>
    <w:p w:rsidR="001F3A90" w:rsidRPr="00D94097" w:rsidRDefault="001F3A90" w:rsidP="00BF6BFA">
      <w:pPr>
        <w:numPr>
          <w:ilvl w:val="0"/>
          <w:numId w:val="41"/>
        </w:numPr>
        <w:tabs>
          <w:tab w:val="num" w:pos="0"/>
        </w:tabs>
        <w:suppressAutoHyphens/>
        <w:ind w:left="0" w:hanging="284"/>
        <w:jc w:val="both"/>
      </w:pPr>
      <w:r w:rsidRPr="00D94097">
        <w:t>Dostawy Kupujący odbiera:</w:t>
      </w:r>
    </w:p>
    <w:p w:rsidR="001F3A90" w:rsidRPr="00D94097" w:rsidRDefault="001F3A90" w:rsidP="00BF6BFA">
      <w:pPr>
        <w:numPr>
          <w:ilvl w:val="0"/>
          <w:numId w:val="37"/>
        </w:numPr>
        <w:suppressAutoHyphens/>
        <w:ind w:left="0" w:firstLine="0"/>
        <w:jc w:val="both"/>
      </w:pPr>
      <w:r w:rsidRPr="00D94097">
        <w:t>od poniedziałku do piątku od godz. 7.25 do 14.30.</w:t>
      </w:r>
    </w:p>
    <w:p w:rsidR="001F3A90" w:rsidRPr="00D94097" w:rsidRDefault="001F3A90" w:rsidP="00BF6BFA">
      <w:pPr>
        <w:numPr>
          <w:ilvl w:val="0"/>
          <w:numId w:val="41"/>
        </w:numPr>
        <w:tabs>
          <w:tab w:val="num" w:pos="0"/>
        </w:tabs>
        <w:suppressAutoHyphens/>
        <w:ind w:left="0" w:hanging="284"/>
        <w:jc w:val="both"/>
      </w:pPr>
      <w:r w:rsidRPr="00D94097">
        <w:t>Kupujący składa zamówienia w formie:</w:t>
      </w:r>
    </w:p>
    <w:p w:rsidR="001F3A90" w:rsidRPr="00D94097" w:rsidRDefault="001F3A90" w:rsidP="00BF6BFA">
      <w:pPr>
        <w:numPr>
          <w:ilvl w:val="0"/>
          <w:numId w:val="39"/>
        </w:numPr>
        <w:tabs>
          <w:tab w:val="clear" w:pos="720"/>
          <w:tab w:val="num" w:pos="0"/>
        </w:tabs>
        <w:suppressAutoHyphens/>
        <w:ind w:left="0" w:firstLine="0"/>
        <w:jc w:val="both"/>
      </w:pPr>
      <w:r w:rsidRPr="00D94097">
        <w:t>email na adres .............................</w:t>
      </w:r>
    </w:p>
    <w:p w:rsidR="001F3A90" w:rsidRPr="00D94097" w:rsidRDefault="001F3A90" w:rsidP="00BF6BFA">
      <w:pPr>
        <w:numPr>
          <w:ilvl w:val="0"/>
          <w:numId w:val="39"/>
        </w:numPr>
        <w:tabs>
          <w:tab w:val="clear" w:pos="720"/>
          <w:tab w:val="num" w:pos="0"/>
        </w:tabs>
        <w:suppressAutoHyphens/>
        <w:ind w:left="0" w:firstLine="0"/>
        <w:jc w:val="both"/>
      </w:pPr>
      <w:r w:rsidRPr="00D94097">
        <w:t>fax na numer ..............................</w:t>
      </w:r>
    </w:p>
    <w:p w:rsidR="001F3A90" w:rsidRPr="00D94097" w:rsidRDefault="001F3A90" w:rsidP="00BF6BFA">
      <w:pPr>
        <w:numPr>
          <w:ilvl w:val="0"/>
          <w:numId w:val="41"/>
        </w:numPr>
        <w:tabs>
          <w:tab w:val="num" w:pos="0"/>
        </w:tabs>
        <w:suppressAutoHyphens/>
        <w:ind w:left="0" w:hanging="284"/>
        <w:jc w:val="both"/>
      </w:pPr>
      <w:r w:rsidRPr="00D94097">
        <w:t>Osobą kontaktową i upoważnioną ze strony Kupującego w sprawie realizacji niniejszej umowy jest Kierownik Apteki – mgr Elżbieta Rabiej -  Koralewicz.</w:t>
      </w:r>
    </w:p>
    <w:p w:rsidR="001F3A90" w:rsidRPr="00D94097" w:rsidRDefault="001F3A90" w:rsidP="00BF6BFA">
      <w:pPr>
        <w:numPr>
          <w:ilvl w:val="0"/>
          <w:numId w:val="41"/>
        </w:numPr>
        <w:tabs>
          <w:tab w:val="num" w:pos="0"/>
        </w:tabs>
        <w:suppressAutoHyphens/>
        <w:ind w:left="0" w:hanging="426"/>
        <w:jc w:val="both"/>
      </w:pPr>
      <w:r w:rsidRPr="00D94097">
        <w:t>Osobą kontaktową i upoważnioną ze strony Sprzedającego w sprawie realizacji niniejszej umowy jest  ………………………….. tel./fax. ……………………....</w:t>
      </w:r>
    </w:p>
    <w:p w:rsidR="001F3A90" w:rsidRPr="00D94097" w:rsidRDefault="001F3A90" w:rsidP="00BF6BFA">
      <w:pPr>
        <w:numPr>
          <w:ilvl w:val="0"/>
          <w:numId w:val="41"/>
        </w:numPr>
        <w:tabs>
          <w:tab w:val="num" w:pos="0"/>
        </w:tabs>
        <w:suppressAutoHyphens/>
        <w:ind w:left="0" w:hanging="426"/>
        <w:jc w:val="both"/>
      </w:pPr>
      <w:r w:rsidRPr="00D94097">
        <w:t xml:space="preserve">W przypadku stwierdzenia przez Kupującego wad przedmiotu sprzedaży, Sprzedający, </w:t>
      </w:r>
      <w:r>
        <w:t xml:space="preserve">                 </w:t>
      </w:r>
      <w:r w:rsidRPr="00D94097">
        <w:t>na wezwanie Kupującego zobowiązany jest do ich usunięcia w terminie równym terminowi określonemu § 2 ust. 3.</w:t>
      </w:r>
    </w:p>
    <w:p w:rsidR="001F3A90" w:rsidRPr="00D94097" w:rsidRDefault="001F3A90" w:rsidP="00BF6BFA">
      <w:pPr>
        <w:numPr>
          <w:ilvl w:val="0"/>
          <w:numId w:val="41"/>
        </w:numPr>
        <w:tabs>
          <w:tab w:val="num" w:pos="0"/>
        </w:tabs>
        <w:suppressAutoHyphens/>
        <w:ind w:left="0" w:hanging="426"/>
        <w:jc w:val="both"/>
      </w:pPr>
      <w:r w:rsidRPr="00D94097">
        <w:t>Sprzedający zobowiązany jest dostarczyć aktualną kartę charakterystyki każdorazowo, wraz z dostawą przedmiotu sprzedaży.</w:t>
      </w:r>
    </w:p>
    <w:p w:rsidR="001F3A90" w:rsidRPr="00D94097" w:rsidRDefault="001F3A90" w:rsidP="00BF6BFA">
      <w:pPr>
        <w:numPr>
          <w:ilvl w:val="0"/>
          <w:numId w:val="41"/>
        </w:numPr>
        <w:tabs>
          <w:tab w:val="num" w:pos="0"/>
        </w:tabs>
        <w:suppressAutoHyphens/>
        <w:ind w:left="0" w:hanging="426"/>
        <w:jc w:val="both"/>
      </w:pPr>
      <w:r w:rsidRPr="00D94097">
        <w:t>Sprzedający zobowiązany jest dostarczać Kupującemu, na adres email: apteka@szpital-brzozow.pl, komunikaty właściwego podmiotu o wstrzymaniu bądź wycofaniu przedmiotu sprzedaży z obrotu na terenie RP.</w:t>
      </w:r>
    </w:p>
    <w:p w:rsidR="001F3A90" w:rsidRPr="00D94097" w:rsidRDefault="001F3A90" w:rsidP="00BF6BFA">
      <w:pPr>
        <w:numPr>
          <w:ilvl w:val="0"/>
          <w:numId w:val="41"/>
        </w:numPr>
        <w:tabs>
          <w:tab w:val="num" w:pos="0"/>
        </w:tabs>
        <w:suppressAutoHyphens/>
        <w:ind w:left="0" w:hanging="426"/>
        <w:jc w:val="both"/>
      </w:pPr>
      <w:r w:rsidRPr="00D94097">
        <w:t>Sprzedający zobowiązany jest do zamówionej partii przedmiotu sprzedaży przesłać fakturę pocztą elektroniczną na adres email: apteka@szpital-brzozow.pl w formie umożliwiającej wprowadzanie danych z faktury do programu Malicki.</w:t>
      </w:r>
    </w:p>
    <w:p w:rsidR="001F3A90" w:rsidRPr="00D94097" w:rsidRDefault="001F3A90" w:rsidP="00BF6BFA">
      <w:pPr>
        <w:numPr>
          <w:ilvl w:val="0"/>
          <w:numId w:val="41"/>
        </w:numPr>
        <w:tabs>
          <w:tab w:val="num" w:pos="0"/>
        </w:tabs>
        <w:suppressAutoHyphens/>
        <w:ind w:left="0" w:hanging="426"/>
        <w:jc w:val="both"/>
      </w:pPr>
      <w:r w:rsidRPr="00D94097">
        <w:t xml:space="preserve">Sprzedający zobowiązuje się nie korzystać z prawa do wstrzymania dostaw na podstawie </w:t>
      </w:r>
      <w:r>
        <w:t xml:space="preserve">               </w:t>
      </w:r>
      <w:r w:rsidRPr="00D94097">
        <w:t>art. 552 k.c. lub jakiegokolwiek innego tytułu prawnego.</w:t>
      </w:r>
    </w:p>
    <w:p w:rsidR="001F3A90" w:rsidRPr="00D94097" w:rsidRDefault="001F3A90" w:rsidP="001F3A90">
      <w:pPr>
        <w:ind w:hanging="709"/>
        <w:jc w:val="both"/>
      </w:pPr>
    </w:p>
    <w:p w:rsidR="001F3A90" w:rsidRPr="00D94097" w:rsidRDefault="001F3A90" w:rsidP="001F3A90">
      <w:pPr>
        <w:jc w:val="center"/>
      </w:pPr>
      <w:r w:rsidRPr="00D94097">
        <w:t>§ 3</w:t>
      </w:r>
    </w:p>
    <w:p w:rsidR="001F3A90" w:rsidRPr="00D94097" w:rsidRDefault="001F3A90" w:rsidP="001F3A90">
      <w:pPr>
        <w:jc w:val="center"/>
      </w:pPr>
    </w:p>
    <w:p w:rsidR="001F3A90" w:rsidRPr="00D94097" w:rsidRDefault="001F3A90" w:rsidP="00BF6BFA">
      <w:pPr>
        <w:numPr>
          <w:ilvl w:val="0"/>
          <w:numId w:val="42"/>
        </w:numPr>
        <w:tabs>
          <w:tab w:val="num" w:pos="0"/>
        </w:tabs>
        <w:suppressAutoHyphens/>
        <w:ind w:left="0" w:hanging="284"/>
        <w:jc w:val="both"/>
      </w:pPr>
      <w:r w:rsidRPr="00D94097">
        <w:t>Kupujący zobowiązuje się zapłacić za dostarczony przedmiot sprzedaży kwotę ustaloną na podstawie § 2 umowy, przelewem bankowym w terminie do 60 dni od daty dostarczenia faktury.</w:t>
      </w:r>
    </w:p>
    <w:p w:rsidR="001F3A90" w:rsidRPr="00D94097" w:rsidRDefault="001F3A90" w:rsidP="00BF6BFA">
      <w:pPr>
        <w:numPr>
          <w:ilvl w:val="0"/>
          <w:numId w:val="42"/>
        </w:numPr>
        <w:tabs>
          <w:tab w:val="num" w:pos="0"/>
        </w:tabs>
        <w:suppressAutoHyphens/>
        <w:ind w:left="0" w:hanging="284"/>
        <w:jc w:val="both"/>
      </w:pPr>
      <w:r w:rsidRPr="00D94097">
        <w:t>Strony umowy postanawiają, że zapłata należności za dostarczony przedmiot sprzedaży nastąpi z chwilą obciążenia rachunku bankowego Kupującego.</w:t>
      </w:r>
    </w:p>
    <w:p w:rsidR="001F3A90" w:rsidRPr="00D94097" w:rsidRDefault="001F3A90" w:rsidP="00BF6BFA">
      <w:pPr>
        <w:numPr>
          <w:ilvl w:val="0"/>
          <w:numId w:val="42"/>
        </w:numPr>
        <w:tabs>
          <w:tab w:val="num" w:pos="0"/>
        </w:tabs>
        <w:suppressAutoHyphens/>
        <w:ind w:left="0" w:hanging="284"/>
        <w:jc w:val="both"/>
      </w:pPr>
      <w:r w:rsidRPr="00D94097">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1F3A90" w:rsidRPr="00D94097" w:rsidRDefault="001F3A90" w:rsidP="00BF6BFA">
      <w:pPr>
        <w:numPr>
          <w:ilvl w:val="0"/>
          <w:numId w:val="42"/>
        </w:numPr>
        <w:tabs>
          <w:tab w:val="num" w:pos="0"/>
        </w:tabs>
        <w:suppressAutoHyphens/>
        <w:ind w:left="0" w:hanging="284"/>
        <w:jc w:val="both"/>
      </w:pPr>
      <w:r w:rsidRPr="00D94097">
        <w:t>Sprzedający oświadcza, że przyjął do wiadomości, iż w trakcie realizacji umowy mogą wystąpić opóźnienia w realizacji zobowiązań ze strony Kupującego, do około 90 dni po terminie płatności faktur.</w:t>
      </w:r>
    </w:p>
    <w:p w:rsidR="001F3A90" w:rsidRPr="00D94097" w:rsidRDefault="001F3A90" w:rsidP="00BF6BFA">
      <w:pPr>
        <w:numPr>
          <w:ilvl w:val="0"/>
          <w:numId w:val="42"/>
        </w:numPr>
        <w:tabs>
          <w:tab w:val="num" w:pos="0"/>
        </w:tabs>
        <w:suppressAutoHyphens/>
        <w:ind w:left="0" w:hanging="284"/>
        <w:jc w:val="both"/>
      </w:pPr>
      <w:r w:rsidRPr="00D94097">
        <w:t>W przypadku szczególnych okoliczności, takich jak wstrzymanie lub zakończenie produkcji, Sprzedający, za zgodą Kupującego może zaoferować środek dezynfekcyjny o takim samym przeznaczeniu, sposobie działania pod warunkiem, że jego cena nie będzie wyższa niż cena środka dezynfekcyjnego objętego umowa. Zmiany umowy  w takiej sytuacji uzależniona jest od zgody Kupującego.</w:t>
      </w:r>
    </w:p>
    <w:p w:rsidR="001F3A90" w:rsidRPr="00D94097" w:rsidRDefault="001F3A90" w:rsidP="001F3A90">
      <w:pPr>
        <w:jc w:val="both"/>
      </w:pPr>
    </w:p>
    <w:p w:rsidR="001F3A90" w:rsidRPr="00D94097" w:rsidRDefault="001F3A90" w:rsidP="001F3A90">
      <w:pPr>
        <w:jc w:val="center"/>
      </w:pPr>
      <w:r w:rsidRPr="00D94097">
        <w:t>§ 4</w:t>
      </w:r>
    </w:p>
    <w:p w:rsidR="001F3A90" w:rsidRPr="00D94097" w:rsidRDefault="001F3A90" w:rsidP="001F3A90">
      <w:pPr>
        <w:jc w:val="center"/>
      </w:pPr>
    </w:p>
    <w:p w:rsidR="001F3A90" w:rsidRPr="00D94097" w:rsidRDefault="001F3A90" w:rsidP="001F3A90">
      <w:pPr>
        <w:ind w:hanging="284"/>
        <w:jc w:val="both"/>
      </w:pPr>
      <w:r>
        <w:t xml:space="preserve">1. </w:t>
      </w:r>
      <w:r w:rsidRPr="00D94097">
        <w:t>Sprzedający zapłaci na rzecz Kupującego kary umowne w wypadku:</w:t>
      </w:r>
    </w:p>
    <w:p w:rsidR="001F3A90" w:rsidRPr="00D94097" w:rsidRDefault="001F3A90" w:rsidP="00BF6BFA">
      <w:pPr>
        <w:numPr>
          <w:ilvl w:val="0"/>
          <w:numId w:val="40"/>
        </w:numPr>
        <w:suppressAutoHyphens/>
        <w:ind w:left="0" w:hanging="284"/>
        <w:jc w:val="both"/>
      </w:pPr>
      <w:r>
        <w:t>zwłoki</w:t>
      </w:r>
      <w:r w:rsidRPr="00D94097">
        <w:t xml:space="preserve"> w realizacji zobowiązań Sprzedawcy – w wysokości 5,0 % wartości przedmiotu sprzedaży który miał być dostarczony, za każdy rozpoczęty dzień </w:t>
      </w:r>
      <w:r>
        <w:t>zwłoki</w:t>
      </w:r>
      <w:r w:rsidRPr="00D94097">
        <w:t>,</w:t>
      </w:r>
    </w:p>
    <w:p w:rsidR="001F3A90" w:rsidRPr="00D94097" w:rsidRDefault="001F3A90" w:rsidP="00BF6BFA">
      <w:pPr>
        <w:numPr>
          <w:ilvl w:val="0"/>
          <w:numId w:val="40"/>
        </w:numPr>
        <w:suppressAutoHyphens/>
        <w:ind w:left="0" w:hanging="284"/>
        <w:jc w:val="both"/>
      </w:pPr>
      <w:r w:rsidRPr="00D94097">
        <w:t>odmowy przyjęcia zamówienia na dostawę części przedmiotu sprzedaży – 3 % wartości przedmiotu sprzedaży określonej w § 2 ust. 1 umowy za każdy przypadek odmowy.</w:t>
      </w:r>
    </w:p>
    <w:p w:rsidR="001F3A90" w:rsidRPr="00D94097" w:rsidRDefault="001F3A90" w:rsidP="00BF6BFA">
      <w:pPr>
        <w:numPr>
          <w:ilvl w:val="0"/>
          <w:numId w:val="40"/>
        </w:numPr>
        <w:suppressAutoHyphens/>
        <w:ind w:left="0" w:hanging="284"/>
        <w:jc w:val="both"/>
      </w:pPr>
      <w:r w:rsidRPr="00D94097">
        <w:t xml:space="preserve">realizowania umowy niezgodnie z treścią poza wyżej wymienionymi przypadkami – 0,01 % </w:t>
      </w:r>
      <w:r>
        <w:t xml:space="preserve"> </w:t>
      </w:r>
      <w:r w:rsidRPr="00D94097">
        <w:t>wartości przedmiotu sprzedaży określonej w § 2 ust. 1 umowy za każdy przypadek realizowania niezgodnie z zapisami</w:t>
      </w:r>
    </w:p>
    <w:p w:rsidR="001F3A90" w:rsidRPr="00D94097" w:rsidRDefault="001F3A90" w:rsidP="001F3A90">
      <w:pPr>
        <w:ind w:hanging="284"/>
        <w:jc w:val="both"/>
      </w:pPr>
      <w:r>
        <w:t xml:space="preserve">2. </w:t>
      </w:r>
      <w:r w:rsidRPr="00D94097">
        <w:t>Kupujący zapłaci Sprzedającemu karę umowną w przypadku:</w:t>
      </w:r>
    </w:p>
    <w:p w:rsidR="001F3A90" w:rsidRPr="00D94097" w:rsidRDefault="001F3A90" w:rsidP="00BF6BFA">
      <w:pPr>
        <w:numPr>
          <w:ilvl w:val="0"/>
          <w:numId w:val="40"/>
        </w:numPr>
        <w:suppressAutoHyphens/>
        <w:ind w:left="0" w:hanging="284"/>
        <w:jc w:val="both"/>
      </w:pPr>
      <w:r>
        <w:t>zwłoki</w:t>
      </w:r>
      <w:r w:rsidRPr="00D94097">
        <w:t xml:space="preserve"> w odbiorze przedmiotu sprzedaży – w wysokości 0,01 % wartości przedmiotu umowy za każdy rozpoczęty dzień </w:t>
      </w:r>
      <w:r>
        <w:t>zwłoki</w:t>
      </w:r>
      <w:r w:rsidRPr="00D94097">
        <w:t xml:space="preserve"> w przypadku dostarczenia w pełni kompletnego przedmiotu sprzedaży,</w:t>
      </w:r>
    </w:p>
    <w:p w:rsidR="001F3A90" w:rsidRPr="00D94097" w:rsidRDefault="001F3A90" w:rsidP="001F3A90">
      <w:pPr>
        <w:ind w:hanging="284"/>
        <w:jc w:val="both"/>
      </w:pPr>
      <w:r>
        <w:t xml:space="preserve">3. </w:t>
      </w:r>
      <w:r w:rsidRPr="00D94097">
        <w:t>Jeżeli szkoda rzeczywista będzie wyższa niż kara umowna, strony mogą być zobowiązane do zapłaty odszkodowania przekraczającego karę umowną na zasadach ogólnych.</w:t>
      </w:r>
    </w:p>
    <w:p w:rsidR="001F3A90" w:rsidRPr="00D94097" w:rsidRDefault="001F3A90" w:rsidP="001F3A90">
      <w:pPr>
        <w:ind w:hanging="284"/>
        <w:jc w:val="both"/>
      </w:pPr>
      <w:r>
        <w:t xml:space="preserve">4. </w:t>
      </w:r>
      <w:r w:rsidRPr="00D94097">
        <w:t>Strony mogą odstąpić od naliczania kar umownych na podstawie pisemnego, uzasadnionego wniosku strony obciążonej karą.</w:t>
      </w:r>
    </w:p>
    <w:p w:rsidR="001F3A90" w:rsidRPr="00D94097" w:rsidRDefault="001F3A90" w:rsidP="00BF6BFA">
      <w:pPr>
        <w:numPr>
          <w:ilvl w:val="0"/>
          <w:numId w:val="20"/>
        </w:numPr>
        <w:tabs>
          <w:tab w:val="clear" w:pos="540"/>
        </w:tabs>
        <w:suppressAutoHyphens/>
        <w:ind w:left="0" w:hanging="284"/>
        <w:jc w:val="both"/>
      </w:pPr>
      <w:r w:rsidRPr="00D94097">
        <w:t>Strony zobowiązane są do zapłaty kwot wynikających z § 4 umowy w terminie 30 dni od dnia wezwania do zapłaty. Opóźnienie upoważnia strony do naliczenia odsetek ustawowych. W</w:t>
      </w:r>
      <w:r>
        <w:t> </w:t>
      </w:r>
      <w:r w:rsidRPr="00D94097">
        <w:t>przypadku niedotrzymania terminu określonego w wezwaniu do zapłaty strony mają prawo potrącić należną kwotę wraz z odsetkami z wzajemnych bieżących należności.</w:t>
      </w:r>
    </w:p>
    <w:p w:rsidR="001F3A90" w:rsidRDefault="001F3A90" w:rsidP="00BF6BFA">
      <w:pPr>
        <w:numPr>
          <w:ilvl w:val="0"/>
          <w:numId w:val="20"/>
        </w:numPr>
        <w:tabs>
          <w:tab w:val="clear" w:pos="540"/>
        </w:tabs>
        <w:suppressAutoHyphens/>
        <w:ind w:left="0" w:hanging="284"/>
        <w:jc w:val="both"/>
      </w:pPr>
      <w:r w:rsidRPr="00D94097">
        <w:t>Kupujący ma prawo potrącenia wymaganych należności z wystawionych przez Sprzedającego faktur.</w:t>
      </w:r>
    </w:p>
    <w:p w:rsidR="001F3A90" w:rsidRPr="00D94097" w:rsidRDefault="001F3A90" w:rsidP="00BF6BFA">
      <w:pPr>
        <w:numPr>
          <w:ilvl w:val="0"/>
          <w:numId w:val="20"/>
        </w:numPr>
        <w:tabs>
          <w:tab w:val="clear" w:pos="540"/>
        </w:tabs>
        <w:suppressAutoHyphens/>
        <w:ind w:left="0" w:hanging="284"/>
        <w:jc w:val="both"/>
      </w:pPr>
      <w:r>
        <w:t>Strony umowy zastrzegają maksymalną wysokość kar umownych do wysokości 20 % wartości brutto umowy.</w:t>
      </w:r>
    </w:p>
    <w:p w:rsidR="001F3A90" w:rsidRPr="00D94097" w:rsidRDefault="001F3A90" w:rsidP="001F3A90">
      <w:pPr>
        <w:jc w:val="center"/>
      </w:pPr>
    </w:p>
    <w:p w:rsidR="001F3A90" w:rsidRPr="00D94097" w:rsidRDefault="001F3A90" w:rsidP="001F3A90">
      <w:pPr>
        <w:jc w:val="center"/>
      </w:pPr>
      <w:r w:rsidRPr="00D94097">
        <w:t>§ 5</w:t>
      </w:r>
    </w:p>
    <w:p w:rsidR="001F3A90" w:rsidRPr="00D94097" w:rsidRDefault="001F3A90" w:rsidP="001F3A90">
      <w:pPr>
        <w:jc w:val="center"/>
      </w:pPr>
    </w:p>
    <w:p w:rsidR="001F3A90" w:rsidRPr="00D94097" w:rsidRDefault="001F3A90" w:rsidP="00BF6BFA">
      <w:pPr>
        <w:numPr>
          <w:ilvl w:val="0"/>
          <w:numId w:val="38"/>
        </w:numPr>
        <w:suppressAutoHyphens/>
        <w:ind w:left="0" w:hanging="284"/>
        <w:jc w:val="both"/>
      </w:pPr>
      <w:r w:rsidRPr="00D94097">
        <w:t>W trakcie obowiązywania umowy strony dopuszczają zmiany cen wyłącznie w przypadku:</w:t>
      </w:r>
    </w:p>
    <w:p w:rsidR="001F3A90" w:rsidRPr="00D94097" w:rsidRDefault="001F3A90" w:rsidP="00BF6BFA">
      <w:pPr>
        <w:numPr>
          <w:ilvl w:val="0"/>
          <w:numId w:val="45"/>
        </w:numPr>
        <w:tabs>
          <w:tab w:val="left" w:pos="284"/>
        </w:tabs>
        <w:suppressAutoHyphens/>
        <w:jc w:val="both"/>
      </w:pPr>
      <w:r w:rsidRPr="00D94097">
        <w:t>obniżenia cen przedmiotu sprzedaży (zmiana następuje z chwilą podpisania aneksu do umowy),</w:t>
      </w:r>
    </w:p>
    <w:p w:rsidR="001F3A90" w:rsidRPr="00D94097" w:rsidRDefault="001F3A90" w:rsidP="00BF6BFA">
      <w:pPr>
        <w:numPr>
          <w:ilvl w:val="0"/>
          <w:numId w:val="45"/>
        </w:numPr>
        <w:tabs>
          <w:tab w:val="left" w:pos="284"/>
        </w:tabs>
        <w:suppressAutoHyphens/>
        <w:jc w:val="both"/>
      </w:pPr>
      <w:r w:rsidRPr="00D94097">
        <w:t>zmiany stawki podatku od towarów i usług, przy czym zmianie ulega wyłącznie cena brutto, cena netto pozostaje bez zmian (zmiana następuje z chwilą wejścia w życie odpowiednich przepisów i nie wymaga formy aneksu),</w:t>
      </w:r>
    </w:p>
    <w:p w:rsidR="001F3A90" w:rsidRPr="00D94097" w:rsidRDefault="001F3A90" w:rsidP="00BF6BFA">
      <w:pPr>
        <w:numPr>
          <w:ilvl w:val="0"/>
          <w:numId w:val="45"/>
        </w:numPr>
        <w:tabs>
          <w:tab w:val="left" w:pos="284"/>
        </w:tabs>
        <w:suppressAutoHyphens/>
        <w:jc w:val="both"/>
      </w:pPr>
      <w:r w:rsidRPr="00D94097">
        <w:t>zmiany cen jednostkowych przedmiotu sprzedaży w przypadku zmiany wielkości opakowania wprowadzonej przez producenta z zachowaniem zasady proporcjonalności w stosunku do ceny objętej umową (zmiana następuje z chwilą podpisania aneksu do umowy),</w:t>
      </w:r>
    </w:p>
    <w:p w:rsidR="001F3A90" w:rsidRPr="00D94097" w:rsidRDefault="001F3A90" w:rsidP="00BF6BFA">
      <w:pPr>
        <w:numPr>
          <w:ilvl w:val="0"/>
          <w:numId w:val="45"/>
        </w:numPr>
        <w:tabs>
          <w:tab w:val="left" w:pos="284"/>
        </w:tabs>
        <w:suppressAutoHyphens/>
        <w:jc w:val="both"/>
      </w:pPr>
      <w:r w:rsidRPr="00D94097">
        <w:t>zmian stawek opłat celnych wprowadzonych decyzjami odnośnych władz  (zmiana następuje z chwilą podpisania aneksu do umowy),</w:t>
      </w:r>
    </w:p>
    <w:p w:rsidR="001F3A90" w:rsidRPr="00D94097" w:rsidRDefault="001F3A90" w:rsidP="00BF6BFA">
      <w:pPr>
        <w:numPr>
          <w:ilvl w:val="0"/>
          <w:numId w:val="45"/>
        </w:numPr>
        <w:tabs>
          <w:tab w:val="left" w:pos="284"/>
        </w:tabs>
        <w:suppressAutoHyphens/>
        <w:jc w:val="both"/>
      </w:pPr>
      <w:r w:rsidRPr="00D94097">
        <w:t>uzasadnionych zmian wprowadzonych przez producentów środka dezynfekcyjnego, na podstawie dokumentu wystawionego przez producenta (oświadczenie lub faktura), (zmiana następuje z chwilą podpisania aneksu do umowy),</w:t>
      </w:r>
    </w:p>
    <w:p w:rsidR="001F3A90" w:rsidRPr="00D94097" w:rsidRDefault="001F3A90" w:rsidP="00BF6BFA">
      <w:pPr>
        <w:numPr>
          <w:ilvl w:val="0"/>
          <w:numId w:val="38"/>
        </w:numPr>
        <w:suppressAutoHyphens/>
        <w:ind w:left="0" w:hanging="284"/>
        <w:jc w:val="both"/>
      </w:pPr>
      <w:r w:rsidRPr="00D94097">
        <w:t>W przypadku</w:t>
      </w:r>
      <w:r>
        <w:t>,</w:t>
      </w:r>
      <w:r w:rsidRPr="00D94097">
        <w:t xml:space="preserve"> gdy strony nie dojdą do porozumienia w zakresie zmian leków objętych umową dopuszczają możliwość rozwiązania umowy w całości lub w spornej części.</w:t>
      </w:r>
    </w:p>
    <w:p w:rsidR="001F3A90" w:rsidRPr="00D94097" w:rsidRDefault="001F3A90" w:rsidP="001F3A90"/>
    <w:p w:rsidR="001F3A90" w:rsidRPr="00D94097" w:rsidRDefault="001F3A90" w:rsidP="001F3A90">
      <w:pPr>
        <w:jc w:val="center"/>
      </w:pPr>
      <w:r w:rsidRPr="00D94097">
        <w:t>§ 6</w:t>
      </w:r>
    </w:p>
    <w:p w:rsidR="001F3A90" w:rsidRPr="00D94097" w:rsidRDefault="001F3A90" w:rsidP="001F3A90">
      <w:pPr>
        <w:jc w:val="center"/>
      </w:pPr>
    </w:p>
    <w:p w:rsidR="001F3A90" w:rsidRPr="00D94097" w:rsidRDefault="001F3A90" w:rsidP="00BF6BFA">
      <w:pPr>
        <w:numPr>
          <w:ilvl w:val="0"/>
          <w:numId w:val="46"/>
        </w:numPr>
        <w:suppressAutoHyphens/>
        <w:ind w:left="0" w:hanging="284"/>
        <w:jc w:val="both"/>
      </w:pPr>
      <w:r w:rsidRPr="00D94097">
        <w:t>Wszelkie zmiany niniejszej umowy wymagają zgodnego oświadczenia stron umowy i formy pisemnej pod rygorem nieważności, chyba że umowa stanowi inaczej.</w:t>
      </w:r>
    </w:p>
    <w:p w:rsidR="001F3A90" w:rsidRPr="00D94097" w:rsidRDefault="001F3A90" w:rsidP="00BF6BFA">
      <w:pPr>
        <w:numPr>
          <w:ilvl w:val="0"/>
          <w:numId w:val="46"/>
        </w:numPr>
        <w:suppressAutoHyphens/>
        <w:ind w:left="0" w:hanging="284"/>
        <w:jc w:val="both"/>
      </w:pPr>
      <w:r w:rsidRPr="00D94097">
        <w:t>W razie zwłoki w wykonaniu zamówienia Kupujący ma prawo odstąpić od umowy po pisemnym wezwaniu Sprzedawcy do zrealizowania zamówienia. Wyznaczenie przez Kupującego nowego terminu nie zwalnia Sprzedającego od obowiązku zapłaty kar umownych.</w:t>
      </w:r>
    </w:p>
    <w:p w:rsidR="001F3A90" w:rsidRPr="00D94097" w:rsidRDefault="001F3A90" w:rsidP="00BF6BFA">
      <w:pPr>
        <w:numPr>
          <w:ilvl w:val="0"/>
          <w:numId w:val="46"/>
        </w:numPr>
        <w:suppressAutoHyphens/>
        <w:ind w:left="0" w:hanging="284"/>
        <w:jc w:val="both"/>
      </w:pPr>
      <w:r w:rsidRPr="00D94097">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1F3A90" w:rsidRDefault="001F3A90" w:rsidP="00BF6BFA">
      <w:pPr>
        <w:numPr>
          <w:ilvl w:val="0"/>
          <w:numId w:val="46"/>
        </w:numPr>
        <w:suppressAutoHyphens/>
        <w:ind w:left="0" w:hanging="284"/>
        <w:jc w:val="both"/>
      </w:pPr>
      <w:r w:rsidRPr="00D94097">
        <w:t>Kupujący zastrzega sobie prawo rezygnacji z zakupu części przedmiotu sprzedaży. Sprzedającemu nie przysługują z tego tytułu roszczenia odszkodowawcze.</w:t>
      </w:r>
      <w:r>
        <w:t xml:space="preserve"> Kupujący zobowiązuje się do zakupu co najmniej 50 % wartości przedmiotu zamówienia określonego w umowie. </w:t>
      </w:r>
    </w:p>
    <w:p w:rsidR="001F3A90" w:rsidRPr="00F84D26" w:rsidRDefault="001F3A90" w:rsidP="00BF6BFA">
      <w:pPr>
        <w:numPr>
          <w:ilvl w:val="0"/>
          <w:numId w:val="46"/>
        </w:numPr>
        <w:suppressAutoHyphens/>
        <w:ind w:left="0" w:hanging="284"/>
        <w:jc w:val="both"/>
      </w:pPr>
      <w:r w:rsidRPr="00F84D26">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1F3A90" w:rsidRDefault="001F3A90" w:rsidP="001F3A90">
      <w:pPr>
        <w:suppressAutoHyphens/>
        <w:jc w:val="both"/>
        <w:rPr>
          <w:rFonts w:eastAsia="Calibri"/>
          <w:lang w:eastAsia="ar-SA"/>
        </w:rPr>
      </w:pPr>
      <w:r w:rsidRPr="006146F0">
        <w:rPr>
          <w:rFonts w:eastAsia="Calibri"/>
          <w:lang w:eastAsia="ar-SA"/>
        </w:rPr>
        <w:t>Przesunięcia nie mogą przekroczyć 100 % ilości danej pozycji asortymentowej i będą dokonywane w oparciu o ceny jednostkowe zawarte w załączniku nr 1 do umowy (formularz ofertowy Sprzedającego).</w:t>
      </w:r>
    </w:p>
    <w:p w:rsidR="001F3A90" w:rsidRPr="00F84D26" w:rsidRDefault="001F3A90" w:rsidP="001F3A90">
      <w:pPr>
        <w:suppressAutoHyphens/>
        <w:jc w:val="both"/>
        <w:rPr>
          <w:rFonts w:eastAsia="Calibri"/>
          <w:lang w:eastAsia="ar-SA"/>
        </w:rPr>
      </w:pPr>
      <w:r w:rsidRPr="006146F0">
        <w:rPr>
          <w:rFonts w:eastAsia="Calibri"/>
          <w:lang w:eastAsia="ar-SA"/>
        </w:rPr>
        <w:t>Przesunięcia nie mogą spowodować przekr</w:t>
      </w:r>
      <w:r>
        <w:rPr>
          <w:rFonts w:eastAsia="Calibri"/>
          <w:lang w:eastAsia="ar-SA"/>
        </w:rPr>
        <w:t>oczenia łącznej wartości brutto</w:t>
      </w:r>
      <w:r w:rsidRPr="006146F0">
        <w:rPr>
          <w:rFonts w:eastAsia="Calibri"/>
          <w:lang w:eastAsia="ar-SA"/>
        </w:rPr>
        <w:t xml:space="preserve"> umowy.  </w:t>
      </w:r>
    </w:p>
    <w:p w:rsidR="001F3A90" w:rsidRPr="00D94097" w:rsidRDefault="001F3A90" w:rsidP="00BF6BFA">
      <w:pPr>
        <w:numPr>
          <w:ilvl w:val="0"/>
          <w:numId w:val="46"/>
        </w:numPr>
        <w:suppressAutoHyphens/>
        <w:ind w:left="0" w:hanging="284"/>
        <w:jc w:val="both"/>
      </w:pPr>
      <w:r w:rsidRPr="00D94097">
        <w:t>W sprawach nie unormowanych w umowie będą miały zastosowanie przepisy ustawy  Prawo zamówień publicznych i Kodeksu Cywilnego.</w:t>
      </w:r>
    </w:p>
    <w:p w:rsidR="001F3A90" w:rsidRPr="00D94097" w:rsidRDefault="001F3A90" w:rsidP="00BF6BFA">
      <w:pPr>
        <w:numPr>
          <w:ilvl w:val="0"/>
          <w:numId w:val="46"/>
        </w:numPr>
        <w:suppressAutoHyphens/>
        <w:ind w:left="0" w:hanging="284"/>
        <w:jc w:val="both"/>
      </w:pPr>
      <w:r w:rsidRPr="00D94097">
        <w:t>Ewentualne spory powstałe w związku z realizacją umowy rozstrzygane będą przez Sąd właściwy dla siedziby Kupującego.</w:t>
      </w:r>
    </w:p>
    <w:p w:rsidR="001F3A90" w:rsidRPr="00D94097" w:rsidRDefault="001F3A90" w:rsidP="00BF6BFA">
      <w:pPr>
        <w:numPr>
          <w:ilvl w:val="0"/>
          <w:numId w:val="46"/>
        </w:numPr>
        <w:suppressAutoHyphens/>
        <w:ind w:left="0" w:hanging="284"/>
        <w:jc w:val="both"/>
      </w:pPr>
      <w:r w:rsidRPr="00D94097">
        <w:t>Umowa została spisana w dwóch egzemplarzach, po jednym dla każdej ze stron.</w:t>
      </w:r>
    </w:p>
    <w:p w:rsidR="001F3A90" w:rsidRDefault="001F3A90" w:rsidP="001F3A90">
      <w:pPr>
        <w:tabs>
          <w:tab w:val="left" w:pos="1365"/>
        </w:tabs>
        <w:jc w:val="both"/>
      </w:pPr>
      <w:r>
        <w:tab/>
      </w:r>
    </w:p>
    <w:p w:rsidR="001F3A90" w:rsidRPr="00D94097" w:rsidRDefault="001F3A90" w:rsidP="001F3A90">
      <w:pPr>
        <w:tabs>
          <w:tab w:val="left" w:pos="1365"/>
        </w:tabs>
        <w:jc w:val="both"/>
      </w:pPr>
    </w:p>
    <w:p w:rsidR="001F3A90" w:rsidRPr="00D94097" w:rsidRDefault="001F3A90" w:rsidP="001F3A90">
      <w:pPr>
        <w:jc w:val="both"/>
      </w:pPr>
    </w:p>
    <w:p w:rsidR="001F3A90" w:rsidRPr="006D4C60" w:rsidRDefault="001F3A90" w:rsidP="00E87079">
      <w:pPr>
        <w:pStyle w:val="Nagwek1"/>
        <w:keepLines w:val="0"/>
        <w:tabs>
          <w:tab w:val="left" w:pos="0"/>
        </w:tabs>
        <w:suppressAutoHyphens/>
        <w:spacing w:before="0"/>
        <w:rPr>
          <w:color w:val="auto"/>
        </w:rPr>
      </w:pPr>
      <w:r w:rsidRPr="006D4C60">
        <w:rPr>
          <w:rFonts w:eastAsia="Calibri"/>
          <w:b w:val="0"/>
          <w:color w:val="auto"/>
          <w:sz w:val="24"/>
          <w:szCs w:val="22"/>
          <w:lang w:val="pl-PL"/>
        </w:rPr>
        <w:t xml:space="preserve">    </w:t>
      </w:r>
      <w:r w:rsidRPr="006D4C60">
        <w:rPr>
          <w:rFonts w:eastAsia="Calibri"/>
          <w:color w:val="auto"/>
          <w:sz w:val="24"/>
          <w:szCs w:val="22"/>
          <w:lang w:val="pl-PL"/>
        </w:rPr>
        <w:t>Sprzedający                                                                                                          Kupujący</w:t>
      </w:r>
    </w:p>
    <w:p w:rsidR="001F3A90" w:rsidRPr="001F3A90" w:rsidRDefault="001F3A90" w:rsidP="00C64BB1">
      <w:pPr>
        <w:pStyle w:val="Tekstpodstawowy"/>
        <w:spacing w:after="60" w:line="276" w:lineRule="auto"/>
        <w:jc w:val="both"/>
        <w:rPr>
          <w:rFonts w:ascii="Cambria" w:hAnsi="Cambria" w:cs="Arial"/>
          <w:bCs/>
          <w:smallCaps w:val="0"/>
          <w:sz w:val="20"/>
          <w:szCs w:val="20"/>
          <w:lang w:val="pl-PL"/>
        </w:rPr>
      </w:pPr>
    </w:p>
    <w:p w:rsidR="00366612" w:rsidRDefault="00366612" w:rsidP="00C64BB1">
      <w:pPr>
        <w:jc w:val="both"/>
        <w:rPr>
          <w:b/>
        </w:rPr>
      </w:pPr>
    </w:p>
    <w:sectPr w:rsidR="00366612"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E9" w:rsidRDefault="004F15E9">
      <w:r>
        <w:separator/>
      </w:r>
    </w:p>
  </w:endnote>
  <w:endnote w:type="continuationSeparator" w:id="0">
    <w:p w:rsidR="004F15E9" w:rsidRDefault="004F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31" w:rsidRDefault="00491F3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91F31" w:rsidRDefault="00491F31"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31" w:rsidRPr="00CC222D" w:rsidRDefault="00491F31">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F15E9" w:rsidRPr="004F15E9">
      <w:rPr>
        <w:rFonts w:ascii="Cambria" w:hAnsi="Cambria"/>
        <w:noProof/>
        <w:sz w:val="20"/>
        <w:szCs w:val="20"/>
        <w:lang w:val="pl-PL"/>
      </w:rPr>
      <w:t>1</w:t>
    </w:r>
    <w:r w:rsidRPr="00CC222D">
      <w:rPr>
        <w:rFonts w:ascii="Cambria" w:hAnsi="Cambria"/>
        <w:sz w:val="20"/>
        <w:szCs w:val="20"/>
      </w:rPr>
      <w:fldChar w:fldCharType="end"/>
    </w:r>
  </w:p>
  <w:p w:rsidR="00491F31" w:rsidRDefault="00491F31"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E9" w:rsidRDefault="004F15E9">
      <w:r>
        <w:separator/>
      </w:r>
    </w:p>
  </w:footnote>
  <w:footnote w:type="continuationSeparator" w:id="0">
    <w:p w:rsidR="004F15E9" w:rsidRDefault="004F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31" w:rsidRDefault="00491F31"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491F31" w:rsidRDefault="00491F31" w:rsidP="00E47F4A">
    <w:pPr>
      <w:pStyle w:val="Nagwek"/>
      <w:rPr>
        <w:rFonts w:ascii="Cambria" w:hAnsi="Cambria"/>
        <w:sz w:val="20"/>
        <w:szCs w:val="20"/>
      </w:rPr>
    </w:pPr>
  </w:p>
  <w:bookmarkEnd w:id="3"/>
  <w:bookmarkEnd w:id="4"/>
  <w:bookmarkEnd w:id="5"/>
  <w:bookmarkEnd w:id="6"/>
  <w:bookmarkEnd w:id="7"/>
  <w:p w:rsidR="00491F31" w:rsidRDefault="00491F31" w:rsidP="007B21AB">
    <w:pPr>
      <w:pStyle w:val="Nagwek"/>
      <w:rPr>
        <w:rFonts w:ascii="Cambria" w:hAnsi="Cambria" w:cs="Arial"/>
        <w:b/>
        <w:sz w:val="20"/>
      </w:rPr>
    </w:pPr>
    <w:r>
      <w:rPr>
        <w:rFonts w:ascii="Cambria" w:hAnsi="Cambria"/>
        <w:sz w:val="20"/>
        <w:szCs w:val="20"/>
      </w:rPr>
      <w:t>Znak sprawy:</w:t>
    </w:r>
    <w:r w:rsidR="00682C81">
      <w:rPr>
        <w:rFonts w:ascii="Cambria" w:hAnsi="Cambria"/>
        <w:sz w:val="20"/>
        <w:szCs w:val="20"/>
        <w:lang w:val="pl-PL"/>
      </w:rPr>
      <w:t>SZSPOO.SZPiGM.3810/51</w:t>
    </w:r>
    <w:r>
      <w:rPr>
        <w:rFonts w:ascii="Cambria" w:hAnsi="Cambria"/>
        <w:sz w:val="20"/>
        <w:szCs w:val="20"/>
        <w:lang w:val="pl-PL"/>
      </w:rPr>
      <w:t>/2022</w:t>
    </w:r>
    <w:r>
      <w:rPr>
        <w:rFonts w:ascii="Cambria" w:hAnsi="Cambria" w:cs="Arial"/>
        <w:b/>
        <w:sz w:val="20"/>
      </w:rPr>
      <w:t xml:space="preserve">   </w:t>
    </w:r>
  </w:p>
  <w:p w:rsidR="00491F31" w:rsidRDefault="00491F31"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8"/>
    <w:multiLevelType w:val="singleLevel"/>
    <w:tmpl w:val="0415000F"/>
    <w:lvl w:ilvl="0">
      <w:start w:val="1"/>
      <w:numFmt w:val="decimal"/>
      <w:lvlText w:val="%1."/>
      <w:lvlJc w:val="left"/>
      <w:pPr>
        <w:ind w:left="720" w:hanging="360"/>
      </w:pPr>
      <w:rPr>
        <w:rFont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9">
    <w:nsid w:val="0000000B"/>
    <w:multiLevelType w:val="singleLevel"/>
    <w:tmpl w:val="04150001"/>
    <w:lvl w:ilvl="0">
      <w:start w:val="1"/>
      <w:numFmt w:val="bullet"/>
      <w:lvlText w:val=""/>
      <w:lvlJc w:val="left"/>
      <w:pPr>
        <w:ind w:left="720" w:hanging="360"/>
      </w:pPr>
      <w:rPr>
        <w:rFonts w:ascii="Symbol" w:hAnsi="Symbol" w:hint="default"/>
        <w:sz w:val="26"/>
      </w:rPr>
    </w:lvl>
  </w:abstractNum>
  <w:abstractNum w:abstractNumId="10">
    <w:nsid w:val="0000000D"/>
    <w:multiLevelType w:val="singleLevel"/>
    <w:tmpl w:val="0415000F"/>
    <w:lvl w:ilvl="0">
      <w:start w:val="1"/>
      <w:numFmt w:val="decimal"/>
      <w:lvlText w:val="%1."/>
      <w:lvlJc w:val="left"/>
      <w:pPr>
        <w:ind w:left="11" w:hanging="360"/>
      </w:pPr>
    </w:lvl>
  </w:abstractNum>
  <w:abstractNum w:abstractNumId="11">
    <w:nsid w:val="0000000E"/>
    <w:multiLevelType w:val="singleLevel"/>
    <w:tmpl w:val="0415000F"/>
    <w:lvl w:ilvl="0">
      <w:start w:val="1"/>
      <w:numFmt w:val="decimal"/>
      <w:lvlText w:val="%1."/>
      <w:lvlJc w:val="left"/>
      <w:pPr>
        <w:ind w:left="720" w:hanging="360"/>
      </w:pPr>
    </w:lvl>
  </w:abstractNum>
  <w:abstractNum w:abstractNumId="12">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4">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2">
    <w:nsid w:val="03BA1B8E"/>
    <w:multiLevelType w:val="singleLevel"/>
    <w:tmpl w:val="FD542280"/>
    <w:lvl w:ilvl="0">
      <w:start w:val="1"/>
      <w:numFmt w:val="decimal"/>
      <w:lvlText w:val="%1."/>
      <w:lvlJc w:val="left"/>
      <w:pPr>
        <w:tabs>
          <w:tab w:val="num" w:pos="0"/>
        </w:tabs>
        <w:ind w:left="720" w:hanging="360"/>
      </w:pPr>
      <w:rPr>
        <w:rFonts w:ascii="Times New Roman" w:hAnsi="Times New Roman" w:cs="Times New Roman" w:hint="default"/>
        <w:sz w:val="26"/>
        <w:szCs w:val="24"/>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76F34B6"/>
    <w:multiLevelType w:val="multilevel"/>
    <w:tmpl w:val="621E9F74"/>
    <w:lvl w:ilvl="0">
      <w:start w:val="1"/>
      <w:numFmt w:val="decimal"/>
      <w:lvlText w:val="%1."/>
      <w:lvlJc w:val="left"/>
      <w:pPr>
        <w:ind w:left="720" w:hanging="360"/>
      </w:pPr>
      <w:rPr>
        <w:rFonts w:hint="default"/>
        <w:b/>
      </w:rPr>
    </w:lvl>
    <w:lvl w:ilvl="1">
      <w:start w:val="3"/>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C2414F"/>
    <w:multiLevelType w:val="hybridMultilevel"/>
    <w:tmpl w:val="82F2ED52"/>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354B4A0E"/>
    <w:multiLevelType w:val="multilevel"/>
    <w:tmpl w:val="264C8AD4"/>
    <w:lvl w:ilvl="0">
      <w:start w:val="1"/>
      <w:numFmt w:val="lowerLetter"/>
      <w:lvlText w:val="%1."/>
      <w:lvlJc w:val="left"/>
      <w:pPr>
        <w:tabs>
          <w:tab w:val="num" w:pos="0"/>
        </w:tabs>
        <w:ind w:left="720" w:hanging="360"/>
      </w:pPr>
      <w:rPr>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5"/>
  </w:num>
  <w:num w:numId="4">
    <w:abstractNumId w:val="27"/>
  </w:num>
  <w:num w:numId="5">
    <w:abstractNumId w:val="51"/>
  </w:num>
  <w:num w:numId="6">
    <w:abstractNumId w:val="54"/>
  </w:num>
  <w:num w:numId="7">
    <w:abstractNumId w:val="45"/>
  </w:num>
  <w:num w:numId="8">
    <w:abstractNumId w:val="62"/>
  </w:num>
  <w:num w:numId="9">
    <w:abstractNumId w:val="37"/>
  </w:num>
  <w:num w:numId="10">
    <w:abstractNumId w:val="59"/>
  </w:num>
  <w:num w:numId="11">
    <w:abstractNumId w:val="39"/>
  </w:num>
  <w:num w:numId="12">
    <w:abstractNumId w:val="46"/>
  </w:num>
  <w:num w:numId="13">
    <w:abstractNumId w:val="44"/>
  </w:num>
  <w:num w:numId="14">
    <w:abstractNumId w:val="36"/>
  </w:num>
  <w:num w:numId="15">
    <w:abstractNumId w:val="61"/>
  </w:num>
  <w:num w:numId="16">
    <w:abstractNumId w:val="25"/>
  </w:num>
  <w:num w:numId="17">
    <w:abstractNumId w:val="48"/>
  </w:num>
  <w:num w:numId="18">
    <w:abstractNumId w:val="13"/>
  </w:num>
  <w:num w:numId="19">
    <w:abstractNumId w:val="14"/>
  </w:num>
  <w:num w:numId="20">
    <w:abstractNumId w:val="12"/>
  </w:num>
  <w:num w:numId="21">
    <w:abstractNumId w:val="30"/>
  </w:num>
  <w:num w:numId="22">
    <w:abstractNumId w:val="23"/>
  </w:num>
  <w:num w:numId="23">
    <w:abstractNumId w:val="38"/>
  </w:num>
  <w:num w:numId="24">
    <w:abstractNumId w:val="26"/>
  </w:num>
  <w:num w:numId="25">
    <w:abstractNumId w:val="33"/>
  </w:num>
  <w:num w:numId="26">
    <w:abstractNumId w:val="56"/>
  </w:num>
  <w:num w:numId="27">
    <w:abstractNumId w:val="24"/>
  </w:num>
  <w:num w:numId="28">
    <w:abstractNumId w:val="28"/>
  </w:num>
  <w:num w:numId="29">
    <w:abstractNumId w:val="60"/>
  </w:num>
  <w:num w:numId="30">
    <w:abstractNumId w:val="40"/>
  </w:num>
  <w:num w:numId="31">
    <w:abstractNumId w:val="53"/>
  </w:num>
  <w:num w:numId="32">
    <w:abstractNumId w:val="52"/>
    <w:lvlOverride w:ilvl="0">
      <w:startOverride w:val="1"/>
    </w:lvlOverride>
  </w:num>
  <w:num w:numId="33">
    <w:abstractNumId w:val="43"/>
    <w:lvlOverride w:ilvl="0">
      <w:startOverride w:val="1"/>
    </w:lvlOverride>
  </w:num>
  <w:num w:numId="34">
    <w:abstractNumId w:val="32"/>
  </w:num>
  <w:num w:numId="35">
    <w:abstractNumId w:val="49"/>
  </w:num>
  <w:num w:numId="36">
    <w:abstractNumId w:val="29"/>
  </w:num>
  <w:num w:numId="37">
    <w:abstractNumId w:val="5"/>
  </w:num>
  <w:num w:numId="38">
    <w:abstractNumId w:val="6"/>
  </w:num>
  <w:num w:numId="39">
    <w:abstractNumId w:val="8"/>
  </w:num>
  <w:num w:numId="40">
    <w:abstractNumId w:val="9"/>
  </w:num>
  <w:num w:numId="41">
    <w:abstractNumId w:val="10"/>
  </w:num>
  <w:num w:numId="42">
    <w:abstractNumId w:val="1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5"/>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079BD"/>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36F"/>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3A90"/>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1F31"/>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5E9"/>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81"/>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1FA5"/>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362E"/>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1BD9"/>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44C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4DA"/>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BFA"/>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079"/>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6D62"/>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tomza@szpit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nuta.niewiadomska@szpital-brzozow.p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FC77-43C5-49CC-972B-D6F145F3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55</Pages>
  <Words>12699</Words>
  <Characters>76198</Characters>
  <Application>Microsoft Office Word</Application>
  <DocSecurity>0</DocSecurity>
  <Lines>634</Lines>
  <Paragraphs>177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KPT</vt:lpstr>
      <vt:lpstr>Sprzedający                                                                 </vt:lpstr>
    </vt:vector>
  </TitlesOfParts>
  <Company>UM</Company>
  <LinksUpToDate>false</LinksUpToDate>
  <CharactersWithSpaces>88720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7</cp:revision>
  <cp:lastPrinted>2022-09-08T07:47:00Z</cp:lastPrinted>
  <dcterms:created xsi:type="dcterms:W3CDTF">2022-09-07T12:13:00Z</dcterms:created>
  <dcterms:modified xsi:type="dcterms:W3CDTF">2022-09-08T07:51:00Z</dcterms:modified>
</cp:coreProperties>
</file>